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933BC3" w14:textId="5CB67852"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ENG10</w:t>
      </w:r>
      <w:r w:rsidRPr="007A395D">
        <w:rPr>
          <w:rFonts w:ascii="Calibri" w:hAnsi="Calibri"/>
        </w:rPr>
        <w:t>-</w:t>
      </w:r>
      <w:r w:rsidR="0087562A">
        <w:rPr>
          <w:rFonts w:ascii="Calibri" w:hAnsi="Calibri"/>
        </w:rPr>
        <w:t>3.1.11</w:t>
      </w:r>
    </w:p>
    <w:p w14:paraId="27686788" w14:textId="77777777" w:rsidR="00BF32F0" w:rsidRPr="007A395D" w:rsidRDefault="00BF32F0" w:rsidP="00FE5674">
      <w:pPr>
        <w:pStyle w:val="BodyText"/>
        <w:tabs>
          <w:tab w:val="left" w:pos="2835"/>
        </w:tabs>
        <w:rPr>
          <w:rFonts w:ascii="Calibri" w:hAnsi="Calibri"/>
        </w:rPr>
      </w:pPr>
    </w:p>
    <w:p w14:paraId="6B588F04" w14:textId="77777777" w:rsidR="00D019CE" w:rsidRPr="007A395D" w:rsidRDefault="00D019CE" w:rsidP="00FE5674">
      <w:pPr>
        <w:pStyle w:val="BodyText"/>
        <w:tabs>
          <w:tab w:val="left" w:pos="2835"/>
        </w:tabs>
        <w:rPr>
          <w:rFonts w:ascii="Calibri" w:hAnsi="Calibri"/>
        </w:rPr>
      </w:pPr>
    </w:p>
    <w:p w14:paraId="3F7378A6" w14:textId="77777777"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4BE85D3C" w14:textId="77777777"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7F7C56">
        <w:rPr>
          <w:rFonts w:ascii="Calibri" w:hAnsi="Calibri" w:cs="Arial"/>
          <w:b/>
          <w:sz w:val="24"/>
          <w:szCs w:val="24"/>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7F7C56">
        <w:rPr>
          <w:rFonts w:ascii="Calibri" w:hAnsi="Calibri" w:cs="Arial"/>
          <w:b/>
          <w:sz w:val="24"/>
          <w:szCs w:val="24"/>
        </w:rPr>
        <w:t>X</w:t>
      </w:r>
      <w:r w:rsidRPr="007A395D">
        <w:rPr>
          <w:rFonts w:ascii="Calibri" w:hAnsi="Calibri" w:cs="Arial"/>
          <w:sz w:val="24"/>
          <w:szCs w:val="24"/>
        </w:rPr>
        <w:t xml:space="preserve">  Input</w:t>
      </w:r>
    </w:p>
    <w:p w14:paraId="2C4D93F9" w14:textId="77777777" w:rsidR="0080294B" w:rsidRPr="007A395D" w:rsidRDefault="0080294B" w:rsidP="00037DF4">
      <w:pPr>
        <w:pStyle w:val="BodyText"/>
        <w:tabs>
          <w:tab w:val="left" w:pos="1843"/>
        </w:tabs>
        <w:rPr>
          <w:rFonts w:ascii="Calibri" w:hAnsi="Calibri"/>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proofErr w:type="gramEnd"/>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Information</w:t>
      </w:r>
    </w:p>
    <w:p w14:paraId="373294BE" w14:textId="77777777" w:rsidR="0080294B" w:rsidRPr="007A395D" w:rsidRDefault="0080294B" w:rsidP="00FE5674">
      <w:pPr>
        <w:pStyle w:val="BodyText"/>
        <w:tabs>
          <w:tab w:val="left" w:pos="2835"/>
        </w:tabs>
        <w:rPr>
          <w:rFonts w:ascii="Calibri" w:hAnsi="Calibri"/>
        </w:rPr>
      </w:pPr>
    </w:p>
    <w:p w14:paraId="2A811C55" w14:textId="77777777"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7F7C56">
        <w:rPr>
          <w:rFonts w:ascii="Calibri" w:hAnsi="Calibri"/>
        </w:rPr>
        <w:t>Report ENG9 9.14</w:t>
      </w:r>
    </w:p>
    <w:p w14:paraId="3628C484" w14:textId="77777777"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7F7C56" w:rsidRPr="007F7C56">
        <w:rPr>
          <w:rFonts w:ascii="Calibri" w:hAnsi="Calibri"/>
        </w:rPr>
        <w:t>2.2.7</w:t>
      </w:r>
    </w:p>
    <w:p w14:paraId="5507DB69" w14:textId="77777777" w:rsidR="0080294B" w:rsidRPr="007A395D" w:rsidRDefault="00362CD9" w:rsidP="00FE5674">
      <w:pPr>
        <w:pStyle w:val="BodyText"/>
        <w:tabs>
          <w:tab w:val="left" w:pos="2835"/>
        </w:tabs>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7F7C56">
        <w:rPr>
          <w:rFonts w:ascii="Calibri" w:hAnsi="Calibri"/>
        </w:rPr>
        <w:t xml:space="preserve">Jörg Unterderweide, </w:t>
      </w:r>
      <w:r w:rsidR="00C671DC">
        <w:rPr>
          <w:rFonts w:ascii="Calibri" w:hAnsi="Calibri"/>
        </w:rPr>
        <w:t xml:space="preserve">Traffic Technologies Centre </w:t>
      </w:r>
      <w:r w:rsidR="007F7C56">
        <w:rPr>
          <w:rFonts w:ascii="Calibri" w:hAnsi="Calibri"/>
        </w:rPr>
        <w:t>TTC</w:t>
      </w:r>
      <w:r w:rsidR="00C671DC">
        <w:rPr>
          <w:rFonts w:ascii="Calibri" w:hAnsi="Calibri"/>
        </w:rPr>
        <w:t>,</w:t>
      </w:r>
      <w:r w:rsidR="007F7C56">
        <w:rPr>
          <w:rFonts w:ascii="Calibri" w:hAnsi="Calibri"/>
        </w:rPr>
        <w:t xml:space="preserve"> Koblenz</w:t>
      </w:r>
    </w:p>
    <w:p w14:paraId="297934B8" w14:textId="77777777" w:rsidR="00A446C9" w:rsidRPr="00605E43" w:rsidRDefault="00F76E9F" w:rsidP="00A446C9">
      <w:pPr>
        <w:pStyle w:val="Title"/>
        <w:rPr>
          <w:rFonts w:ascii="Calibri" w:hAnsi="Calibri"/>
          <w:color w:val="0070C0"/>
        </w:rPr>
      </w:pPr>
      <w:r>
        <w:rPr>
          <w:rFonts w:ascii="Calibri" w:hAnsi="Calibri"/>
          <w:color w:val="0070C0"/>
        </w:rPr>
        <w:t>Colour fading</w:t>
      </w:r>
    </w:p>
    <w:p w14:paraId="29E84E10" w14:textId="77777777" w:rsidR="00A446C9" w:rsidRPr="00605E43" w:rsidRDefault="00A446C9" w:rsidP="00605E43">
      <w:pPr>
        <w:pStyle w:val="Heading1"/>
      </w:pPr>
      <w:r w:rsidRPr="00605E43">
        <w:t>Summary</w:t>
      </w:r>
    </w:p>
    <w:p w14:paraId="50077FC6" w14:textId="77777777" w:rsidR="003817A5" w:rsidRDefault="003817A5" w:rsidP="00B56BDF">
      <w:pPr>
        <w:pStyle w:val="BodyText"/>
        <w:rPr>
          <w:rFonts w:ascii="Calibri" w:hAnsi="Calibri"/>
        </w:rPr>
      </w:pPr>
    </w:p>
    <w:p w14:paraId="4ABD9F1A" w14:textId="53E2FF13" w:rsidR="003D0DFF" w:rsidRDefault="003D0DFF" w:rsidP="00B56BDF">
      <w:pPr>
        <w:pStyle w:val="BodyText"/>
        <w:rPr>
          <w:rFonts w:ascii="Calibri" w:hAnsi="Calibri"/>
        </w:rPr>
      </w:pPr>
      <w:r w:rsidRPr="003D0DFF">
        <w:rPr>
          <w:rFonts w:ascii="Calibri" w:hAnsi="Calibri"/>
        </w:rPr>
        <w:t xml:space="preserve">Gathering experience from the natural weathering of colours is time-consuming. </w:t>
      </w:r>
      <w:r>
        <w:rPr>
          <w:rFonts w:ascii="Calibri" w:hAnsi="Calibri"/>
        </w:rPr>
        <w:t xml:space="preserve"> </w:t>
      </w:r>
      <w:r w:rsidRPr="003D0DFF">
        <w:rPr>
          <w:rFonts w:ascii="Calibri" w:hAnsi="Calibri"/>
        </w:rPr>
        <w:t>Rapid weathering methods promise a remedy.</w:t>
      </w:r>
      <w:r>
        <w:rPr>
          <w:rFonts w:ascii="Calibri" w:hAnsi="Calibri"/>
        </w:rPr>
        <w:t xml:space="preserve">  </w:t>
      </w:r>
      <w:r w:rsidR="0087562A" w:rsidRPr="003D0DFF">
        <w:rPr>
          <w:rFonts w:ascii="Calibri" w:hAnsi="Calibri"/>
        </w:rPr>
        <w:t>However,</w:t>
      </w:r>
      <w:r w:rsidRPr="003D0DFF">
        <w:rPr>
          <w:rFonts w:ascii="Calibri" w:hAnsi="Calibri"/>
        </w:rPr>
        <w:t xml:space="preserve"> the choice of "good" </w:t>
      </w:r>
      <w:r>
        <w:rPr>
          <w:rFonts w:ascii="Calibri" w:hAnsi="Calibri"/>
        </w:rPr>
        <w:t>surface</w:t>
      </w:r>
      <w:r w:rsidRPr="003D0DFF">
        <w:rPr>
          <w:rFonts w:ascii="Calibri" w:hAnsi="Calibri"/>
        </w:rPr>
        <w:t xml:space="preserve"> colours </w:t>
      </w:r>
      <w:r>
        <w:rPr>
          <w:rFonts w:ascii="Calibri" w:hAnsi="Calibri"/>
        </w:rPr>
        <w:t xml:space="preserve">depends </w:t>
      </w:r>
      <w:r w:rsidRPr="003D0DFF">
        <w:rPr>
          <w:rFonts w:ascii="Calibri" w:hAnsi="Calibri"/>
        </w:rPr>
        <w:t>on a wide variety of factors.</w:t>
      </w:r>
      <w:r>
        <w:rPr>
          <w:rFonts w:ascii="Calibri" w:hAnsi="Calibri"/>
        </w:rPr>
        <w:t xml:space="preserve">  </w:t>
      </w:r>
      <w:r w:rsidRPr="003D0DFF">
        <w:rPr>
          <w:rFonts w:ascii="Calibri" w:hAnsi="Calibri"/>
        </w:rPr>
        <w:t xml:space="preserve">In this paper some experiences of the Traffic Technology Centre </w:t>
      </w:r>
      <w:r w:rsidR="00E10483">
        <w:rPr>
          <w:rFonts w:ascii="Calibri" w:hAnsi="Calibri"/>
        </w:rPr>
        <w:t xml:space="preserve">(TTC) </w:t>
      </w:r>
      <w:r w:rsidRPr="003D0DFF">
        <w:rPr>
          <w:rFonts w:ascii="Calibri" w:hAnsi="Calibri"/>
        </w:rPr>
        <w:t>at Koblenz/Germany are described.</w:t>
      </w:r>
    </w:p>
    <w:p w14:paraId="678D8FEB" w14:textId="77777777" w:rsidR="001C44A3" w:rsidRPr="00605E43" w:rsidRDefault="00BD4E6F" w:rsidP="00605E43">
      <w:pPr>
        <w:pStyle w:val="Heading2"/>
      </w:pPr>
      <w:r w:rsidRPr="00605E43">
        <w:t>Purpose</w:t>
      </w:r>
      <w:r w:rsidR="004D1D85" w:rsidRPr="00605E43">
        <w:t xml:space="preserve"> of the document</w:t>
      </w:r>
    </w:p>
    <w:p w14:paraId="3CD724A8" w14:textId="77777777" w:rsidR="00E55927" w:rsidRPr="007A395D" w:rsidRDefault="007F7C56" w:rsidP="00E55927">
      <w:pPr>
        <w:pStyle w:val="BodyText"/>
        <w:rPr>
          <w:rFonts w:ascii="Calibri" w:hAnsi="Calibri"/>
        </w:rPr>
      </w:pPr>
      <w:r w:rsidRPr="007F7C56">
        <w:rPr>
          <w:rFonts w:ascii="Calibri" w:hAnsi="Calibri"/>
        </w:rPr>
        <w:t xml:space="preserve">The report of ENG9 requests under 9.14 participants to submit input papers on Colour fading of </w:t>
      </w:r>
      <w:proofErr w:type="spellStart"/>
      <w:r w:rsidRPr="007F7C56">
        <w:rPr>
          <w:rFonts w:ascii="Calibri" w:hAnsi="Calibri"/>
        </w:rPr>
        <w:t>AtoN</w:t>
      </w:r>
      <w:proofErr w:type="spellEnd"/>
      <w:r w:rsidRPr="007F7C56">
        <w:rPr>
          <w:rFonts w:ascii="Calibri" w:hAnsi="Calibri"/>
        </w:rPr>
        <w:t xml:space="preserve"> (plastic and</w:t>
      </w:r>
      <w:r>
        <w:rPr>
          <w:rFonts w:ascii="Calibri" w:hAnsi="Calibri"/>
        </w:rPr>
        <w:t xml:space="preserve"> </w:t>
      </w:r>
      <w:r w:rsidRPr="007F7C56">
        <w:rPr>
          <w:rFonts w:ascii="Calibri" w:hAnsi="Calibri"/>
        </w:rPr>
        <w:t>painted) methods to measure and assess to ENG10.</w:t>
      </w:r>
      <w:r>
        <w:rPr>
          <w:rFonts w:ascii="Calibri" w:hAnsi="Calibri"/>
        </w:rPr>
        <w:t xml:space="preserve"> </w:t>
      </w:r>
      <w:r w:rsidRPr="007F7C56">
        <w:rPr>
          <w:rFonts w:ascii="Calibri" w:hAnsi="Calibri"/>
        </w:rPr>
        <w:t xml:space="preserve">With this input paper I would like to report on </w:t>
      </w:r>
      <w:r w:rsidR="003D0DFF">
        <w:rPr>
          <w:rFonts w:ascii="Calibri" w:hAnsi="Calibri"/>
        </w:rPr>
        <w:t>our</w:t>
      </w:r>
      <w:r w:rsidRPr="007F7C56">
        <w:rPr>
          <w:rFonts w:ascii="Calibri" w:hAnsi="Calibri"/>
        </w:rPr>
        <w:t xml:space="preserve"> experiences </w:t>
      </w:r>
      <w:r w:rsidR="00955762">
        <w:rPr>
          <w:rFonts w:ascii="Calibri" w:hAnsi="Calibri"/>
        </w:rPr>
        <w:t>and to support the work of Working Group 1.</w:t>
      </w:r>
    </w:p>
    <w:p w14:paraId="24A6054B" w14:textId="77777777" w:rsidR="00A446C9" w:rsidRPr="007A395D" w:rsidRDefault="00A446C9" w:rsidP="00605E43">
      <w:pPr>
        <w:pStyle w:val="Heading1"/>
      </w:pPr>
      <w:r w:rsidRPr="007A395D">
        <w:t>Background</w:t>
      </w:r>
    </w:p>
    <w:p w14:paraId="1025D3EF" w14:textId="77777777" w:rsidR="00A446C9" w:rsidRDefault="00955762" w:rsidP="00A446C9">
      <w:pPr>
        <w:pStyle w:val="BodyText"/>
        <w:rPr>
          <w:rFonts w:ascii="Calibri" w:hAnsi="Calibri"/>
        </w:rPr>
      </w:pPr>
      <w:r>
        <w:rPr>
          <w:rFonts w:ascii="Calibri" w:hAnsi="Calibri"/>
        </w:rPr>
        <w:t xml:space="preserve">Colour fading is an important topic in the work of the </w:t>
      </w:r>
      <w:r w:rsidR="00C671DC">
        <w:rPr>
          <w:rFonts w:ascii="Calibri" w:hAnsi="Calibri"/>
        </w:rPr>
        <w:t xml:space="preserve">German </w:t>
      </w:r>
      <w:r>
        <w:rPr>
          <w:rFonts w:ascii="Calibri" w:hAnsi="Calibri"/>
        </w:rPr>
        <w:t xml:space="preserve">Federal Waterways and Shipping Administration. </w:t>
      </w:r>
      <w:r w:rsidR="00DA315C">
        <w:rPr>
          <w:rFonts w:ascii="Calibri" w:hAnsi="Calibri"/>
        </w:rPr>
        <w:t xml:space="preserve"> </w:t>
      </w:r>
      <w:r w:rsidRPr="00955762">
        <w:rPr>
          <w:rFonts w:ascii="Calibri" w:hAnsi="Calibri"/>
        </w:rPr>
        <w:t xml:space="preserve">The research methods and work were </w:t>
      </w:r>
      <w:r>
        <w:rPr>
          <w:rFonts w:ascii="Calibri" w:hAnsi="Calibri"/>
        </w:rPr>
        <w:t xml:space="preserve">already </w:t>
      </w:r>
      <w:r w:rsidRPr="00955762">
        <w:rPr>
          <w:rFonts w:ascii="Calibri" w:hAnsi="Calibri"/>
        </w:rPr>
        <w:t xml:space="preserve">presented to the participants </w:t>
      </w:r>
      <w:r>
        <w:rPr>
          <w:rFonts w:ascii="Calibri" w:hAnsi="Calibri"/>
        </w:rPr>
        <w:t>of</w:t>
      </w:r>
      <w:r w:rsidRPr="00955762">
        <w:rPr>
          <w:rFonts w:ascii="Calibri" w:hAnsi="Calibri"/>
        </w:rPr>
        <w:t xml:space="preserve"> the last IALA workshop</w:t>
      </w:r>
      <w:r>
        <w:rPr>
          <w:rFonts w:ascii="Calibri" w:hAnsi="Calibri"/>
        </w:rPr>
        <w:t xml:space="preserve"> on </w:t>
      </w:r>
      <w:r w:rsidR="00C671DC">
        <w:rPr>
          <w:rFonts w:ascii="Calibri" w:hAnsi="Calibri"/>
        </w:rPr>
        <w:t>“Sustainable Light and P</w:t>
      </w:r>
      <w:r>
        <w:rPr>
          <w:rFonts w:ascii="Calibri" w:hAnsi="Calibri"/>
        </w:rPr>
        <w:t xml:space="preserve">ower for the next </w:t>
      </w:r>
      <w:r w:rsidR="00C671DC">
        <w:rPr>
          <w:rFonts w:ascii="Calibri" w:hAnsi="Calibri"/>
        </w:rPr>
        <w:t>G</w:t>
      </w:r>
      <w:r>
        <w:rPr>
          <w:rFonts w:ascii="Calibri" w:hAnsi="Calibri"/>
        </w:rPr>
        <w:t>eneration (IALABATT / IALALITE)</w:t>
      </w:r>
      <w:r w:rsidR="00C671DC">
        <w:rPr>
          <w:rFonts w:ascii="Calibri" w:hAnsi="Calibri"/>
        </w:rPr>
        <w:t>”</w:t>
      </w:r>
      <w:r>
        <w:rPr>
          <w:rFonts w:ascii="Calibri" w:hAnsi="Calibri"/>
        </w:rPr>
        <w:t xml:space="preserve"> held</w:t>
      </w:r>
      <w:r w:rsidR="00F43D62">
        <w:rPr>
          <w:rFonts w:ascii="Calibri" w:hAnsi="Calibri"/>
        </w:rPr>
        <w:t xml:space="preserve"> at 20 to 24 March</w:t>
      </w:r>
      <w:r w:rsidRPr="00955762">
        <w:rPr>
          <w:rFonts w:ascii="Calibri" w:hAnsi="Calibri"/>
        </w:rPr>
        <w:t xml:space="preserve"> 2017</w:t>
      </w:r>
      <w:r w:rsidR="00F43D62">
        <w:rPr>
          <w:rFonts w:ascii="Calibri" w:hAnsi="Calibri"/>
        </w:rPr>
        <w:t xml:space="preserve"> at Koblenz</w:t>
      </w:r>
      <w:r w:rsidRPr="00955762">
        <w:rPr>
          <w:rFonts w:ascii="Calibri" w:hAnsi="Calibri"/>
        </w:rPr>
        <w:t>.</w:t>
      </w:r>
    </w:p>
    <w:p w14:paraId="16402875" w14:textId="77777777" w:rsidR="00F76E9F" w:rsidRPr="00F76E9F" w:rsidRDefault="00F76E9F" w:rsidP="00F76E9F">
      <w:pPr>
        <w:spacing w:after="120"/>
        <w:jc w:val="both"/>
        <w:rPr>
          <w:rFonts w:ascii="Calibri" w:hAnsi="Calibri"/>
        </w:rPr>
      </w:pPr>
      <w:r w:rsidRPr="00F76E9F">
        <w:rPr>
          <w:rFonts w:ascii="Calibri" w:hAnsi="Calibri"/>
        </w:rPr>
        <w:t>Measurement devices are already described in GL 1134</w:t>
      </w:r>
      <w:r w:rsidRPr="00F76E9F">
        <w:t xml:space="preserve"> </w:t>
      </w:r>
      <w:r w:rsidR="00503A04">
        <w:fldChar w:fldCharType="begin"/>
      </w:r>
      <w:r w:rsidR="00503A04">
        <w:instrText xml:space="preserve"> REF _Ref17476975 \r \h </w:instrText>
      </w:r>
      <w:r w:rsidR="00503A04">
        <w:fldChar w:fldCharType="separate"/>
      </w:r>
      <w:r w:rsidR="0050561D">
        <w:t>[1]</w:t>
      </w:r>
      <w:r w:rsidR="00503A04">
        <w:fldChar w:fldCharType="end"/>
      </w:r>
      <w:r w:rsidR="00503A04">
        <w:t xml:space="preserve"> </w:t>
      </w:r>
      <w:r w:rsidRPr="00F76E9F">
        <w:rPr>
          <w:rFonts w:ascii="Calibri" w:hAnsi="Calibri"/>
        </w:rPr>
        <w:t xml:space="preserve">and are not considered in this input paper.  Chromaticity coordinates, Luminance factor, glossiness and coating thickness are measured and analysed. </w:t>
      </w:r>
      <w:r w:rsidR="00DA315C">
        <w:rPr>
          <w:rFonts w:ascii="Calibri" w:hAnsi="Calibri"/>
        </w:rPr>
        <w:t xml:space="preserve"> </w:t>
      </w:r>
      <w:r w:rsidRPr="00F76E9F">
        <w:rPr>
          <w:rFonts w:ascii="Calibri" w:hAnsi="Calibri"/>
        </w:rPr>
        <w:t xml:space="preserve">Measurements are done at </w:t>
      </w:r>
      <w:proofErr w:type="spellStart"/>
      <w:r w:rsidRPr="00F76E9F">
        <w:rPr>
          <w:rFonts w:ascii="Calibri" w:hAnsi="Calibri"/>
        </w:rPr>
        <w:t>AtoN</w:t>
      </w:r>
      <w:proofErr w:type="spellEnd"/>
      <w:r w:rsidRPr="00F76E9F">
        <w:rPr>
          <w:rFonts w:ascii="Calibri" w:hAnsi="Calibri"/>
        </w:rPr>
        <w:t xml:space="preserve"> in situ, at the outdoor weathering</w:t>
      </w:r>
      <w:r w:rsidR="001D32C1">
        <w:rPr>
          <w:rFonts w:ascii="Calibri" w:hAnsi="Calibri"/>
        </w:rPr>
        <w:t xml:space="preserve"> </w:t>
      </w:r>
      <w:r w:rsidR="001D32C1" w:rsidRPr="00F76E9F">
        <w:rPr>
          <w:rFonts w:ascii="Calibri" w:hAnsi="Calibri"/>
        </w:rPr>
        <w:t xml:space="preserve">area </w:t>
      </w:r>
      <w:r w:rsidR="001D32C1">
        <w:rPr>
          <w:rFonts w:ascii="Calibri" w:hAnsi="Calibri"/>
        </w:rPr>
        <w:t>(both n</w:t>
      </w:r>
      <w:r w:rsidR="001D32C1" w:rsidRPr="001D32C1">
        <w:rPr>
          <w:rFonts w:ascii="Calibri" w:hAnsi="Calibri"/>
        </w:rPr>
        <w:t>atural weathering</w:t>
      </w:r>
      <w:r w:rsidR="001D32C1">
        <w:rPr>
          <w:rFonts w:ascii="Calibri" w:hAnsi="Calibri"/>
        </w:rPr>
        <w:t>)</w:t>
      </w:r>
      <w:r w:rsidRPr="00F76E9F">
        <w:rPr>
          <w:rFonts w:ascii="Calibri" w:hAnsi="Calibri"/>
        </w:rPr>
        <w:t xml:space="preserve"> and at the laboratory.</w:t>
      </w:r>
    </w:p>
    <w:p w14:paraId="365CBF8F" w14:textId="77777777" w:rsidR="00DA315C" w:rsidRDefault="00DA315C" w:rsidP="00A446C9">
      <w:pPr>
        <w:pStyle w:val="BodyText"/>
        <w:rPr>
          <w:rFonts w:ascii="Calibri" w:hAnsi="Calibri"/>
        </w:rPr>
      </w:pPr>
      <w:r w:rsidRPr="00DA315C">
        <w:rPr>
          <w:rFonts w:ascii="Calibri" w:hAnsi="Calibri"/>
        </w:rPr>
        <w:t xml:space="preserve">In situ, all </w:t>
      </w:r>
      <w:proofErr w:type="gramStart"/>
      <w:r w:rsidRPr="00DA315C">
        <w:rPr>
          <w:rFonts w:ascii="Calibri" w:hAnsi="Calibri"/>
        </w:rPr>
        <w:t>actual</w:t>
      </w:r>
      <w:r>
        <w:rPr>
          <w:rFonts w:ascii="Calibri" w:hAnsi="Calibri"/>
        </w:rPr>
        <w:t>ly</w:t>
      </w:r>
      <w:r w:rsidRPr="00DA315C">
        <w:rPr>
          <w:rFonts w:ascii="Calibri" w:hAnsi="Calibri"/>
        </w:rPr>
        <w:t xml:space="preserve"> influencing</w:t>
      </w:r>
      <w:proofErr w:type="gramEnd"/>
      <w:r w:rsidRPr="00DA315C">
        <w:rPr>
          <w:rFonts w:ascii="Calibri" w:hAnsi="Calibri"/>
        </w:rPr>
        <w:t xml:space="preserve"> factors are taken into account.</w:t>
      </w:r>
      <w:r w:rsidRPr="00DA315C">
        <w:t xml:space="preserve"> </w:t>
      </w:r>
      <w:r w:rsidR="00503A04">
        <w:t xml:space="preserve"> </w:t>
      </w:r>
      <w:r w:rsidRPr="00DA315C">
        <w:rPr>
          <w:rFonts w:ascii="Calibri" w:hAnsi="Calibri"/>
        </w:rPr>
        <w:t>But the factors can vary considerably.</w:t>
      </w:r>
      <w:r>
        <w:rPr>
          <w:rFonts w:ascii="Calibri" w:hAnsi="Calibri"/>
        </w:rPr>
        <w:t xml:space="preserve"> </w:t>
      </w:r>
      <w:r w:rsidR="00503A04">
        <w:rPr>
          <w:rFonts w:ascii="Calibri" w:hAnsi="Calibri"/>
        </w:rPr>
        <w:t xml:space="preserve"> </w:t>
      </w:r>
      <w:proofErr w:type="gramStart"/>
      <w:r>
        <w:rPr>
          <w:rFonts w:ascii="Calibri" w:hAnsi="Calibri"/>
        </w:rPr>
        <w:t>Moreover</w:t>
      </w:r>
      <w:proofErr w:type="gramEnd"/>
      <w:r w:rsidRPr="00DA315C">
        <w:rPr>
          <w:rFonts w:ascii="Calibri" w:hAnsi="Calibri"/>
        </w:rPr>
        <w:t xml:space="preserve"> measurem</w:t>
      </w:r>
      <w:r>
        <w:rPr>
          <w:rFonts w:ascii="Calibri" w:hAnsi="Calibri"/>
        </w:rPr>
        <w:t xml:space="preserve">ents can be very time-consuming, e.g. you have to </w:t>
      </w:r>
      <w:r w:rsidRPr="00DA315C">
        <w:rPr>
          <w:rFonts w:ascii="Calibri" w:hAnsi="Calibri"/>
        </w:rPr>
        <w:t xml:space="preserve">go out </w:t>
      </w:r>
      <w:r>
        <w:rPr>
          <w:rFonts w:ascii="Calibri" w:hAnsi="Calibri"/>
        </w:rPr>
        <w:t>by</w:t>
      </w:r>
      <w:r w:rsidRPr="00DA315C">
        <w:rPr>
          <w:rFonts w:ascii="Calibri" w:hAnsi="Calibri"/>
        </w:rPr>
        <w:t xml:space="preserve"> ship</w:t>
      </w:r>
      <w:r>
        <w:rPr>
          <w:rFonts w:ascii="Calibri" w:hAnsi="Calibri"/>
        </w:rPr>
        <w:t xml:space="preserve"> to each site. </w:t>
      </w:r>
      <w:r w:rsidR="00503A04">
        <w:rPr>
          <w:rFonts w:ascii="Calibri" w:hAnsi="Calibri"/>
        </w:rPr>
        <w:t xml:space="preserve"> </w:t>
      </w:r>
      <w:r w:rsidRPr="00DA315C">
        <w:rPr>
          <w:rFonts w:ascii="Calibri" w:hAnsi="Calibri"/>
        </w:rPr>
        <w:t>This type of test lasts the longest</w:t>
      </w:r>
      <w:r>
        <w:rPr>
          <w:rFonts w:ascii="Calibri" w:hAnsi="Calibri"/>
        </w:rPr>
        <w:t>.</w:t>
      </w:r>
    </w:p>
    <w:p w14:paraId="1F2DAD7D" w14:textId="77777777" w:rsidR="00C24EFE" w:rsidRDefault="00C24EFE" w:rsidP="00C24EFE">
      <w:pPr>
        <w:pStyle w:val="BodyText"/>
        <w:jc w:val="center"/>
        <w:rPr>
          <w:rFonts w:ascii="Calibri" w:hAnsi="Calibri"/>
        </w:rPr>
      </w:pPr>
      <w:r>
        <w:rPr>
          <w:noProof/>
          <w:lang w:val="de-DE" w:eastAsia="de-DE"/>
        </w:rPr>
        <w:lastRenderedPageBreak/>
        <w:drawing>
          <wp:inline distT="0" distB="0" distL="0" distR="0" wp14:anchorId="63D6648D" wp14:editId="32DC4FBD">
            <wp:extent cx="4701540" cy="4519597"/>
            <wp:effectExtent l="0" t="0" r="381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700541" cy="4518636"/>
                    </a:xfrm>
                    <a:prstGeom prst="rect">
                      <a:avLst/>
                    </a:prstGeom>
                  </pic:spPr>
                </pic:pic>
              </a:graphicData>
            </a:graphic>
          </wp:inline>
        </w:drawing>
      </w:r>
    </w:p>
    <w:p w14:paraId="36655466" w14:textId="77777777" w:rsidR="00C24EFE" w:rsidRDefault="00C24EFE" w:rsidP="00C24EFE">
      <w:pPr>
        <w:pStyle w:val="Figure"/>
        <w:rPr>
          <w:rFonts w:ascii="Calibri" w:hAnsi="Calibri"/>
        </w:rPr>
      </w:pPr>
      <w:r w:rsidRPr="00C24EFE">
        <w:rPr>
          <w:rFonts w:ascii="Calibri" w:hAnsi="Calibri"/>
        </w:rPr>
        <w:t>influencing factors</w:t>
      </w:r>
    </w:p>
    <w:p w14:paraId="6863AB8A" w14:textId="77777777" w:rsidR="00C24EFE" w:rsidRDefault="00C24EFE" w:rsidP="00A446C9">
      <w:pPr>
        <w:pStyle w:val="BodyText"/>
        <w:rPr>
          <w:rFonts w:ascii="Calibri" w:hAnsi="Calibri"/>
        </w:rPr>
      </w:pPr>
    </w:p>
    <w:p w14:paraId="52B8A8D8" w14:textId="721DFB56" w:rsidR="00DA315C" w:rsidRDefault="00DA315C" w:rsidP="00A446C9">
      <w:pPr>
        <w:pStyle w:val="BodyText"/>
        <w:rPr>
          <w:rFonts w:ascii="Calibri" w:hAnsi="Calibri"/>
        </w:rPr>
      </w:pPr>
      <w:r>
        <w:rPr>
          <w:rFonts w:ascii="Calibri" w:hAnsi="Calibri"/>
        </w:rPr>
        <w:t>A</w:t>
      </w:r>
      <w:r w:rsidRPr="00DA315C">
        <w:rPr>
          <w:rFonts w:ascii="Calibri" w:hAnsi="Calibri"/>
        </w:rPr>
        <w:t xml:space="preserve">t the outdoor weathering area influencing factors are comparable for all simultaneously weathered </w:t>
      </w:r>
      <w:r w:rsidR="00A6432E">
        <w:rPr>
          <w:rFonts w:ascii="Calibri" w:hAnsi="Calibri"/>
        </w:rPr>
        <w:t>samples,</w:t>
      </w:r>
      <w:r w:rsidR="00503A04">
        <w:rPr>
          <w:rFonts w:ascii="Calibri" w:hAnsi="Calibri"/>
        </w:rPr>
        <w:t xml:space="preserve"> </w:t>
      </w:r>
      <w:r w:rsidR="00A6432E">
        <w:rPr>
          <w:rFonts w:ascii="Calibri" w:hAnsi="Calibri"/>
        </w:rPr>
        <w:t>a</w:t>
      </w:r>
      <w:r w:rsidRPr="00DA315C">
        <w:rPr>
          <w:rFonts w:ascii="Calibri" w:hAnsi="Calibri"/>
        </w:rPr>
        <w:t>ccess and measurements are easier</w:t>
      </w:r>
      <w:r w:rsidR="00A6432E">
        <w:rPr>
          <w:rFonts w:ascii="Calibri" w:hAnsi="Calibri"/>
        </w:rPr>
        <w:t>, b</w:t>
      </w:r>
      <w:r w:rsidR="008A1B26" w:rsidRPr="008A1B26">
        <w:rPr>
          <w:rFonts w:ascii="Calibri" w:hAnsi="Calibri"/>
        </w:rPr>
        <w:t xml:space="preserve">ut </w:t>
      </w:r>
      <w:r w:rsidR="008A1B26">
        <w:rPr>
          <w:rFonts w:ascii="Calibri" w:hAnsi="Calibri"/>
        </w:rPr>
        <w:t>testing</w:t>
      </w:r>
      <w:r w:rsidR="008A1B26" w:rsidRPr="008A1B26">
        <w:rPr>
          <w:rFonts w:ascii="Calibri" w:hAnsi="Calibri"/>
        </w:rPr>
        <w:t xml:space="preserve"> take</w:t>
      </w:r>
      <w:r w:rsidR="00136FD0">
        <w:rPr>
          <w:rFonts w:ascii="Calibri" w:hAnsi="Calibri"/>
        </w:rPr>
        <w:t>s</w:t>
      </w:r>
      <w:r w:rsidR="008A1B26" w:rsidRPr="008A1B26">
        <w:rPr>
          <w:rFonts w:ascii="Calibri" w:hAnsi="Calibri"/>
        </w:rPr>
        <w:t xml:space="preserve"> just as long as the in situ.</w:t>
      </w:r>
    </w:p>
    <w:p w14:paraId="11324CE6" w14:textId="77777777" w:rsidR="00DA315C" w:rsidRDefault="00DA315C" w:rsidP="00DA315C">
      <w:pPr>
        <w:pStyle w:val="BodyText"/>
        <w:jc w:val="center"/>
        <w:rPr>
          <w:rFonts w:ascii="Calibri" w:hAnsi="Calibri"/>
        </w:rPr>
      </w:pPr>
      <w:r>
        <w:rPr>
          <w:noProof/>
          <w:lang w:val="de-DE" w:eastAsia="de-DE"/>
        </w:rPr>
        <w:drawing>
          <wp:inline distT="0" distB="0" distL="0" distR="0" wp14:anchorId="48EBC952" wp14:editId="18972974">
            <wp:extent cx="5158740" cy="3451860"/>
            <wp:effectExtent l="0" t="0" r="381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6633" t="25161" r="7014" b="18414"/>
                    <a:stretch/>
                  </pic:blipFill>
                  <pic:spPr bwMode="auto">
                    <a:xfrm>
                      <a:off x="0" y="0"/>
                      <a:ext cx="5157643" cy="3451126"/>
                    </a:xfrm>
                    <a:prstGeom prst="rect">
                      <a:avLst/>
                    </a:prstGeom>
                    <a:ln>
                      <a:noFill/>
                    </a:ln>
                    <a:extLst>
                      <a:ext uri="{53640926-AAD7-44D8-BBD7-CCE9431645EC}">
                        <a14:shadowObscured xmlns:a14="http://schemas.microsoft.com/office/drawing/2010/main"/>
                      </a:ext>
                    </a:extLst>
                  </pic:spPr>
                </pic:pic>
              </a:graphicData>
            </a:graphic>
          </wp:inline>
        </w:drawing>
      </w:r>
    </w:p>
    <w:p w14:paraId="51BCD2A5" w14:textId="77777777" w:rsidR="00DA315C" w:rsidRDefault="00DA315C" w:rsidP="00DA315C">
      <w:pPr>
        <w:pStyle w:val="Figure"/>
        <w:rPr>
          <w:rFonts w:ascii="Calibri" w:hAnsi="Calibri"/>
        </w:rPr>
      </w:pPr>
      <w:r>
        <w:rPr>
          <w:rFonts w:ascii="Calibri" w:hAnsi="Calibri"/>
        </w:rPr>
        <w:t>Outdoor weathering area</w:t>
      </w:r>
    </w:p>
    <w:p w14:paraId="53E9DB88" w14:textId="77777777" w:rsidR="00DA315C" w:rsidRDefault="00DA315C" w:rsidP="00A446C9">
      <w:pPr>
        <w:pStyle w:val="BodyText"/>
        <w:rPr>
          <w:rFonts w:ascii="Calibri" w:hAnsi="Calibri"/>
        </w:rPr>
      </w:pPr>
    </w:p>
    <w:p w14:paraId="4D97D735" w14:textId="5356F789" w:rsidR="00C24EFE" w:rsidRDefault="00C24EFE" w:rsidP="00C24EFE">
      <w:pPr>
        <w:pStyle w:val="BodyText"/>
        <w:rPr>
          <w:rFonts w:ascii="Calibri" w:hAnsi="Calibri"/>
        </w:rPr>
      </w:pPr>
      <w:r w:rsidRPr="00C24EFE">
        <w:rPr>
          <w:rFonts w:ascii="Calibri" w:hAnsi="Calibri"/>
        </w:rPr>
        <w:t xml:space="preserve">In case of a laboratory-based </w:t>
      </w:r>
      <w:r w:rsidR="00384FAC">
        <w:rPr>
          <w:rFonts w:ascii="Calibri" w:hAnsi="Calibri"/>
        </w:rPr>
        <w:t>artificial</w:t>
      </w:r>
      <w:r w:rsidRPr="00C24EFE">
        <w:rPr>
          <w:rFonts w:ascii="Calibri" w:hAnsi="Calibri"/>
        </w:rPr>
        <w:t xml:space="preserve"> weathering influences can be controlled and modified. </w:t>
      </w:r>
      <w:r w:rsidR="00503A04">
        <w:rPr>
          <w:rFonts w:ascii="Calibri" w:hAnsi="Calibri"/>
        </w:rPr>
        <w:t xml:space="preserve"> </w:t>
      </w:r>
      <w:r w:rsidR="0087562A" w:rsidRPr="00C24EFE">
        <w:rPr>
          <w:rFonts w:ascii="Calibri" w:hAnsi="Calibri"/>
        </w:rPr>
        <w:t>Therefore,</w:t>
      </w:r>
      <w:r w:rsidRPr="00C24EFE">
        <w:rPr>
          <w:rFonts w:ascii="Calibri" w:hAnsi="Calibri"/>
        </w:rPr>
        <w:t xml:space="preserve"> </w:t>
      </w:r>
      <w:r w:rsidR="00A6432E">
        <w:rPr>
          <w:rFonts w:ascii="Calibri" w:hAnsi="Calibri"/>
        </w:rPr>
        <w:t>results</w:t>
      </w:r>
      <w:r w:rsidRPr="00C24EFE">
        <w:rPr>
          <w:rFonts w:ascii="Calibri" w:hAnsi="Calibri"/>
        </w:rPr>
        <w:t xml:space="preserve"> are comparable for all measurements.</w:t>
      </w:r>
      <w:r w:rsidR="00503A04">
        <w:rPr>
          <w:rFonts w:ascii="Calibri" w:hAnsi="Calibri"/>
        </w:rPr>
        <w:t xml:space="preserve"> </w:t>
      </w:r>
      <w:r w:rsidRPr="00C24EFE">
        <w:rPr>
          <w:rFonts w:ascii="Calibri" w:hAnsi="Calibri"/>
        </w:rPr>
        <w:t xml:space="preserve"> </w:t>
      </w:r>
      <w:r w:rsidR="0087562A" w:rsidRPr="00C24EFE">
        <w:rPr>
          <w:rFonts w:ascii="Calibri" w:hAnsi="Calibri"/>
        </w:rPr>
        <w:t>However,</w:t>
      </w:r>
      <w:r w:rsidRPr="00C24EFE">
        <w:rPr>
          <w:rFonts w:ascii="Calibri" w:hAnsi="Calibri"/>
        </w:rPr>
        <w:t xml:space="preserve"> the </w:t>
      </w:r>
      <w:r w:rsidR="008A7603">
        <w:rPr>
          <w:rFonts w:ascii="Calibri" w:hAnsi="Calibri"/>
        </w:rPr>
        <w:t>testing</w:t>
      </w:r>
      <w:r w:rsidRPr="00C24EFE">
        <w:rPr>
          <w:rFonts w:ascii="Calibri" w:hAnsi="Calibri"/>
        </w:rPr>
        <w:t xml:space="preserve"> is limited to a few influencing factors, others remain unconsidered. </w:t>
      </w:r>
      <w:r w:rsidR="00503A04">
        <w:rPr>
          <w:rFonts w:ascii="Calibri" w:hAnsi="Calibri"/>
        </w:rPr>
        <w:t xml:space="preserve"> </w:t>
      </w:r>
      <w:r w:rsidRPr="00C24EFE">
        <w:rPr>
          <w:rFonts w:ascii="Calibri" w:hAnsi="Calibri"/>
        </w:rPr>
        <w:t>TTC considers only radiation, moisture and heat as the most important ones.</w:t>
      </w:r>
      <w:r w:rsidR="00503A04">
        <w:rPr>
          <w:rFonts w:ascii="Calibri" w:hAnsi="Calibri"/>
        </w:rPr>
        <w:t xml:space="preserve"> </w:t>
      </w:r>
      <w:r w:rsidRPr="00C24EFE">
        <w:rPr>
          <w:rFonts w:ascii="Calibri" w:hAnsi="Calibri"/>
        </w:rPr>
        <w:t xml:space="preserve"> Air pollution</w:t>
      </w:r>
      <w:r>
        <w:rPr>
          <w:rFonts w:ascii="Calibri" w:hAnsi="Calibri"/>
        </w:rPr>
        <w:t xml:space="preserve">, </w:t>
      </w:r>
      <w:r w:rsidRPr="00C24EFE">
        <w:rPr>
          <w:rFonts w:ascii="Calibri" w:hAnsi="Calibri"/>
        </w:rPr>
        <w:t>chemical processes, salt, bird droppings etc. are not considered.</w:t>
      </w:r>
    </w:p>
    <w:p w14:paraId="77E96A6C" w14:textId="1421A0CE" w:rsidR="00136FD0" w:rsidRPr="00136FD0" w:rsidRDefault="00E10483" w:rsidP="00C24EFE">
      <w:pPr>
        <w:pStyle w:val="BodyText"/>
        <w:rPr>
          <w:rFonts w:ascii="Calibri" w:hAnsi="Calibri"/>
        </w:rPr>
      </w:pPr>
      <w:r w:rsidRPr="00E10483">
        <w:rPr>
          <w:rFonts w:ascii="Calibri" w:hAnsi="Calibri"/>
        </w:rPr>
        <w:t xml:space="preserve">Since natural weathering lasts for many years, TTC will establish the first correlations between natural and artificial weathering </w:t>
      </w:r>
      <w:proofErr w:type="gramStart"/>
      <w:r w:rsidRPr="00E10483">
        <w:rPr>
          <w:rFonts w:ascii="Calibri" w:hAnsi="Calibri"/>
        </w:rPr>
        <w:t>in the near future</w:t>
      </w:r>
      <w:proofErr w:type="gramEnd"/>
      <w:r w:rsidRPr="00E10483">
        <w:rPr>
          <w:rFonts w:ascii="Calibri" w:hAnsi="Calibri"/>
        </w:rPr>
        <w:t>. Then the results of artificial weathering can be interpreted in the context of natural weathering. In best-case scenario, a simple factor between the lifetime of artificial and natural weathering can be established.</w:t>
      </w:r>
      <w:r w:rsidR="00A6432E">
        <w:rPr>
          <w:rFonts w:ascii="Calibri" w:hAnsi="Calibri"/>
        </w:rPr>
        <w:t xml:space="preserve">  </w:t>
      </w:r>
      <w:r w:rsidR="00136FD0">
        <w:rPr>
          <w:rFonts w:ascii="Calibri" w:hAnsi="Calibri"/>
        </w:rPr>
        <w:t xml:space="preserve">Colours on </w:t>
      </w:r>
      <w:r w:rsidR="00136FD0" w:rsidRPr="00136FD0">
        <w:rPr>
          <w:rFonts w:ascii="Calibri" w:hAnsi="Calibri"/>
        </w:rPr>
        <w:t>diverse materials</w:t>
      </w:r>
      <w:r w:rsidR="00A40A55">
        <w:rPr>
          <w:rFonts w:ascii="Calibri" w:hAnsi="Calibri"/>
        </w:rPr>
        <w:t xml:space="preserve"> </w:t>
      </w:r>
      <w:r w:rsidR="00136FD0">
        <w:rPr>
          <w:rFonts w:ascii="Calibri" w:hAnsi="Calibri"/>
        </w:rPr>
        <w:t>are tested, such as</w:t>
      </w:r>
    </w:p>
    <w:p w14:paraId="50A499E9" w14:textId="77777777" w:rsidR="00136FD0" w:rsidRPr="00136FD0" w:rsidRDefault="00136FD0" w:rsidP="00C24EFE">
      <w:pPr>
        <w:pStyle w:val="Bullet1"/>
        <w:rPr>
          <w:rFonts w:ascii="Calibri" w:hAnsi="Calibri"/>
        </w:rPr>
      </w:pPr>
      <w:r w:rsidRPr="00136FD0">
        <w:rPr>
          <w:rFonts w:ascii="Calibri" w:hAnsi="Calibri"/>
        </w:rPr>
        <w:t>Steel</w:t>
      </w:r>
      <w:r w:rsidR="001D32C1">
        <w:rPr>
          <w:rFonts w:ascii="Calibri" w:hAnsi="Calibri"/>
        </w:rPr>
        <w:t>;</w:t>
      </w:r>
    </w:p>
    <w:p w14:paraId="55B1500B" w14:textId="42DECF92" w:rsidR="00136FD0" w:rsidRPr="00136FD0" w:rsidRDefault="00A6432E" w:rsidP="00C24EFE">
      <w:pPr>
        <w:pStyle w:val="Bullet1"/>
        <w:rPr>
          <w:rFonts w:ascii="Calibri" w:hAnsi="Calibri"/>
        </w:rPr>
      </w:pPr>
      <w:r w:rsidRPr="00136FD0">
        <w:rPr>
          <w:rFonts w:ascii="Calibri" w:hAnsi="Calibri"/>
        </w:rPr>
        <w:t>Alu</w:t>
      </w:r>
      <w:r>
        <w:rPr>
          <w:rFonts w:ascii="Calibri" w:hAnsi="Calibri"/>
        </w:rPr>
        <w:t>minium</w:t>
      </w:r>
      <w:r w:rsidR="001D32C1">
        <w:rPr>
          <w:rFonts w:ascii="Calibri" w:hAnsi="Calibri"/>
        </w:rPr>
        <w:t>;</w:t>
      </w:r>
    </w:p>
    <w:p w14:paraId="0E588C04" w14:textId="39ADD4DF" w:rsidR="00136FD0" w:rsidRPr="00136FD0" w:rsidRDefault="00A6432E" w:rsidP="00C24EFE">
      <w:pPr>
        <w:pStyle w:val="Bullet1"/>
        <w:rPr>
          <w:rFonts w:ascii="Calibri" w:hAnsi="Calibri"/>
        </w:rPr>
      </w:pPr>
      <w:r>
        <w:rPr>
          <w:rFonts w:ascii="Calibri" w:hAnsi="Calibri"/>
        </w:rPr>
        <w:t>Polyethylene</w:t>
      </w:r>
      <w:r w:rsidR="001D32C1">
        <w:rPr>
          <w:rFonts w:ascii="Calibri" w:hAnsi="Calibri"/>
        </w:rPr>
        <w:t>;</w:t>
      </w:r>
    </w:p>
    <w:p w14:paraId="76003D02" w14:textId="77777777" w:rsidR="00136FD0" w:rsidRPr="00136FD0" w:rsidRDefault="00136FD0" w:rsidP="00C24EFE">
      <w:pPr>
        <w:pStyle w:val="Bullet1"/>
        <w:rPr>
          <w:rFonts w:ascii="Calibri" w:hAnsi="Calibri"/>
        </w:rPr>
      </w:pPr>
      <w:r w:rsidRPr="00136FD0">
        <w:rPr>
          <w:rFonts w:ascii="Calibri" w:hAnsi="Calibri"/>
        </w:rPr>
        <w:t>Films</w:t>
      </w:r>
      <w:r w:rsidR="001D32C1">
        <w:rPr>
          <w:rFonts w:ascii="Calibri" w:hAnsi="Calibri"/>
        </w:rPr>
        <w:t>;</w:t>
      </w:r>
    </w:p>
    <w:p w14:paraId="0231617A" w14:textId="77777777" w:rsidR="00DA315C" w:rsidRDefault="00136FD0" w:rsidP="00C24EFE">
      <w:pPr>
        <w:pStyle w:val="Bullet1"/>
        <w:rPr>
          <w:rFonts w:ascii="Calibri" w:hAnsi="Calibri"/>
        </w:rPr>
      </w:pPr>
      <w:r w:rsidRPr="00136FD0">
        <w:rPr>
          <w:rFonts w:ascii="Calibri" w:hAnsi="Calibri"/>
        </w:rPr>
        <w:t>Reflective films</w:t>
      </w:r>
      <w:r w:rsidR="001D32C1">
        <w:rPr>
          <w:rFonts w:ascii="Calibri" w:hAnsi="Calibri"/>
        </w:rPr>
        <w:t>.</w:t>
      </w:r>
    </w:p>
    <w:p w14:paraId="3B754097" w14:textId="20C7CF26" w:rsidR="00136FD0" w:rsidRPr="00136FD0" w:rsidRDefault="00136FD0" w:rsidP="00136FD0">
      <w:pPr>
        <w:pStyle w:val="BodyText"/>
        <w:rPr>
          <w:rFonts w:ascii="Calibri" w:hAnsi="Calibri"/>
        </w:rPr>
      </w:pPr>
      <w:r w:rsidRPr="00136FD0">
        <w:rPr>
          <w:rFonts w:ascii="Calibri" w:hAnsi="Calibri"/>
        </w:rPr>
        <w:t xml:space="preserve">In addition to the influencing factors mentioned above there are of course other factors </w:t>
      </w:r>
      <w:proofErr w:type="gramStart"/>
      <w:r w:rsidRPr="00136FD0">
        <w:rPr>
          <w:rFonts w:ascii="Calibri" w:hAnsi="Calibri"/>
        </w:rPr>
        <w:t>with regard to</w:t>
      </w:r>
      <w:proofErr w:type="gramEnd"/>
      <w:r w:rsidRPr="00136FD0">
        <w:rPr>
          <w:rFonts w:ascii="Calibri" w:hAnsi="Calibri"/>
        </w:rPr>
        <w:t xml:space="preserve"> the efficient use of </w:t>
      </w:r>
      <w:proofErr w:type="spellStart"/>
      <w:r w:rsidRPr="00136FD0">
        <w:rPr>
          <w:rFonts w:ascii="Calibri" w:hAnsi="Calibri"/>
        </w:rPr>
        <w:t>AtoN</w:t>
      </w:r>
      <w:proofErr w:type="spellEnd"/>
      <w:r w:rsidRPr="00136FD0">
        <w:rPr>
          <w:rFonts w:ascii="Calibri" w:hAnsi="Calibri"/>
        </w:rPr>
        <w:t>, such as</w:t>
      </w:r>
    </w:p>
    <w:p w14:paraId="1C3BAE56" w14:textId="77777777" w:rsidR="00136FD0" w:rsidRPr="00136FD0" w:rsidRDefault="00136FD0" w:rsidP="00C24EFE">
      <w:pPr>
        <w:pStyle w:val="Bullet1"/>
        <w:rPr>
          <w:rFonts w:ascii="Calibri" w:hAnsi="Calibri"/>
        </w:rPr>
      </w:pPr>
      <w:r w:rsidRPr="00136FD0">
        <w:rPr>
          <w:rFonts w:ascii="Calibri" w:hAnsi="Calibri"/>
        </w:rPr>
        <w:t>Corrosion protection</w:t>
      </w:r>
      <w:r w:rsidR="001D32C1">
        <w:rPr>
          <w:rFonts w:ascii="Calibri" w:hAnsi="Calibri"/>
        </w:rPr>
        <w:t>;</w:t>
      </w:r>
    </w:p>
    <w:p w14:paraId="389BDCAE" w14:textId="77777777" w:rsidR="00136FD0" w:rsidRPr="00136FD0" w:rsidRDefault="00136FD0" w:rsidP="00C24EFE">
      <w:pPr>
        <w:pStyle w:val="Bullet1"/>
        <w:rPr>
          <w:rFonts w:ascii="Calibri" w:hAnsi="Calibri"/>
        </w:rPr>
      </w:pPr>
      <w:r w:rsidRPr="00136FD0">
        <w:rPr>
          <w:rFonts w:ascii="Calibri" w:hAnsi="Calibri"/>
        </w:rPr>
        <w:t>Maintenance, cleaning of the surfaces</w:t>
      </w:r>
      <w:r w:rsidR="001D32C1">
        <w:rPr>
          <w:rFonts w:ascii="Calibri" w:hAnsi="Calibri"/>
        </w:rPr>
        <w:t>;</w:t>
      </w:r>
    </w:p>
    <w:p w14:paraId="4E6DC4F8" w14:textId="77777777" w:rsidR="00136FD0" w:rsidRPr="00136FD0" w:rsidRDefault="00136FD0" w:rsidP="00C24EFE">
      <w:pPr>
        <w:pStyle w:val="Bullet1"/>
        <w:rPr>
          <w:rFonts w:ascii="Calibri" w:hAnsi="Calibri"/>
        </w:rPr>
      </w:pPr>
      <w:r w:rsidRPr="00136FD0">
        <w:rPr>
          <w:rFonts w:ascii="Calibri" w:hAnsi="Calibri"/>
        </w:rPr>
        <w:t>Paint application process, surface preparation</w:t>
      </w:r>
      <w:r w:rsidR="001D32C1">
        <w:rPr>
          <w:rFonts w:ascii="Calibri" w:hAnsi="Calibri"/>
        </w:rPr>
        <w:t>;</w:t>
      </w:r>
    </w:p>
    <w:p w14:paraId="642A3C0D" w14:textId="77777777" w:rsidR="00136FD0" w:rsidRPr="00136FD0" w:rsidRDefault="00136FD0" w:rsidP="00C24EFE">
      <w:pPr>
        <w:pStyle w:val="Bullet1"/>
        <w:rPr>
          <w:rFonts w:ascii="Calibri" w:hAnsi="Calibri"/>
        </w:rPr>
      </w:pPr>
      <w:r w:rsidRPr="00136FD0">
        <w:rPr>
          <w:rFonts w:ascii="Calibri" w:hAnsi="Calibri"/>
        </w:rPr>
        <w:t>Work safety</w:t>
      </w:r>
      <w:r w:rsidR="001D32C1">
        <w:rPr>
          <w:rFonts w:ascii="Calibri" w:hAnsi="Calibri"/>
        </w:rPr>
        <w:t>;</w:t>
      </w:r>
    </w:p>
    <w:p w14:paraId="434EB662" w14:textId="77777777" w:rsidR="00136FD0" w:rsidRPr="00136FD0" w:rsidRDefault="00136FD0" w:rsidP="00C24EFE">
      <w:pPr>
        <w:pStyle w:val="Bullet1"/>
        <w:rPr>
          <w:rFonts w:ascii="Calibri" w:hAnsi="Calibri"/>
        </w:rPr>
      </w:pPr>
      <w:r w:rsidRPr="00136FD0">
        <w:rPr>
          <w:rFonts w:ascii="Calibri" w:hAnsi="Calibri"/>
        </w:rPr>
        <w:t>Hazardous substances</w:t>
      </w:r>
      <w:r w:rsidR="001D32C1">
        <w:rPr>
          <w:rFonts w:ascii="Calibri" w:hAnsi="Calibri"/>
        </w:rPr>
        <w:t>;</w:t>
      </w:r>
    </w:p>
    <w:p w14:paraId="3DB7AA83" w14:textId="77777777" w:rsidR="00136FD0" w:rsidRPr="00136FD0" w:rsidRDefault="00136FD0" w:rsidP="00C24EFE">
      <w:pPr>
        <w:pStyle w:val="Bullet1"/>
        <w:rPr>
          <w:rFonts w:ascii="Calibri" w:hAnsi="Calibri"/>
        </w:rPr>
      </w:pPr>
      <w:r w:rsidRPr="00136FD0">
        <w:rPr>
          <w:rFonts w:ascii="Calibri" w:hAnsi="Calibri"/>
        </w:rPr>
        <w:t>Shelf life of the paints</w:t>
      </w:r>
      <w:r w:rsidR="001D32C1">
        <w:rPr>
          <w:rFonts w:ascii="Calibri" w:hAnsi="Calibri"/>
        </w:rPr>
        <w:t>;</w:t>
      </w:r>
    </w:p>
    <w:p w14:paraId="4A15466C" w14:textId="77777777" w:rsidR="00136FD0" w:rsidRPr="00136FD0" w:rsidRDefault="00136FD0" w:rsidP="00C24EFE">
      <w:pPr>
        <w:pStyle w:val="Bullet1"/>
        <w:rPr>
          <w:rFonts w:ascii="Calibri" w:hAnsi="Calibri"/>
        </w:rPr>
      </w:pPr>
      <w:r w:rsidRPr="00136FD0">
        <w:rPr>
          <w:rFonts w:ascii="Calibri" w:hAnsi="Calibri"/>
        </w:rPr>
        <w:t>long-term market availability</w:t>
      </w:r>
      <w:r w:rsidR="001D32C1">
        <w:rPr>
          <w:rFonts w:ascii="Calibri" w:hAnsi="Calibri"/>
        </w:rPr>
        <w:t>;</w:t>
      </w:r>
    </w:p>
    <w:p w14:paraId="2D3B671D" w14:textId="77777777" w:rsidR="00136FD0" w:rsidRPr="00136FD0" w:rsidRDefault="00136FD0" w:rsidP="00C24EFE">
      <w:pPr>
        <w:pStyle w:val="Bullet1"/>
        <w:rPr>
          <w:rFonts w:ascii="Calibri" w:hAnsi="Calibri"/>
        </w:rPr>
      </w:pPr>
      <w:r w:rsidRPr="00136FD0">
        <w:rPr>
          <w:rFonts w:ascii="Calibri" w:hAnsi="Calibri"/>
        </w:rPr>
        <w:t>Cost</w:t>
      </w:r>
      <w:r w:rsidR="001D32C1">
        <w:rPr>
          <w:rFonts w:ascii="Calibri" w:hAnsi="Calibri"/>
        </w:rPr>
        <w:t>.</w:t>
      </w:r>
    </w:p>
    <w:p w14:paraId="5AEFA11F" w14:textId="77777777" w:rsidR="0050561D" w:rsidRDefault="0050561D">
      <w:pPr>
        <w:rPr>
          <w:rFonts w:ascii="Calibri" w:hAnsi="Calibri"/>
          <w:b/>
          <w:caps/>
          <w:color w:val="0070C0"/>
          <w:kern w:val="28"/>
          <w:sz w:val="24"/>
          <w:lang w:eastAsia="de-DE"/>
        </w:rPr>
      </w:pPr>
      <w:r>
        <w:br w:type="page"/>
      </w:r>
    </w:p>
    <w:p w14:paraId="3604F715" w14:textId="77777777" w:rsidR="00C24EFE" w:rsidRDefault="00384FAC" w:rsidP="00C24EFE">
      <w:pPr>
        <w:pStyle w:val="Heading1"/>
      </w:pPr>
      <w:r>
        <w:lastRenderedPageBreak/>
        <w:t>artificial</w:t>
      </w:r>
      <w:r w:rsidR="00C24EFE" w:rsidRPr="00C24EFE">
        <w:t xml:space="preserve"> weathering </w:t>
      </w:r>
      <w:r w:rsidR="00C24EFE">
        <w:t>Equiment</w:t>
      </w:r>
    </w:p>
    <w:p w14:paraId="7787ABC7" w14:textId="77777777" w:rsidR="007F7C56" w:rsidRPr="001D32C1" w:rsidRDefault="001D32C1" w:rsidP="007E08D8">
      <w:pPr>
        <w:pStyle w:val="BodyText"/>
        <w:rPr>
          <w:rFonts w:ascii="Calibri" w:hAnsi="Calibri"/>
        </w:rPr>
      </w:pPr>
      <w:r w:rsidRPr="001D32C1">
        <w:rPr>
          <w:rFonts w:ascii="Calibri" w:hAnsi="Calibri"/>
        </w:rPr>
        <w:t>TTC uses a UV-Light Tester that is described by the manufacturer as follows:</w:t>
      </w:r>
    </w:p>
    <w:p w14:paraId="2AD5F89D" w14:textId="5DD4CFB0" w:rsidR="004C7E81" w:rsidRPr="001D32C1" w:rsidRDefault="00384FAC" w:rsidP="007E08D8">
      <w:pPr>
        <w:pStyle w:val="BodyText"/>
        <w:rPr>
          <w:rFonts w:ascii="Calibri" w:hAnsi="Calibri"/>
        </w:rPr>
      </w:pPr>
      <w:r>
        <w:rPr>
          <w:rFonts w:ascii="Calibri" w:hAnsi="Calibri"/>
        </w:rPr>
        <w:t>“</w:t>
      </w:r>
      <w:r w:rsidR="001D32C1" w:rsidRPr="001D32C1">
        <w:rPr>
          <w:rFonts w:ascii="Calibri" w:hAnsi="Calibri"/>
        </w:rPr>
        <w:t>The QUV accelerated weathering tester reproduces the damage caused by sunlight, rain and dew. In a few days or weeks, the QUV UV tester can reproduce the damage that occurs over months or years outdoors. To simulate outdoor weathering, the QUV accelerated tester exposes materials to alternating cycles of UV light and moisture at controlled, elevated temperatures. It simulates the effects of sunlight using special fluorescent UV lamps. It simulates dew and rain with condensing humidity and/or water spray. The QUV accelerated weathering tester is the simplest, most reliable, and easiest to use weathering tester available. With thousands of testers in use worldwide, it is the world's most widely used weathering tester.</w:t>
      </w:r>
      <w:r>
        <w:rPr>
          <w:rFonts w:ascii="Calibri" w:hAnsi="Calibri"/>
        </w:rPr>
        <w:t>”</w:t>
      </w:r>
      <w:r w:rsidR="00F641D3" w:rsidRPr="00A6432E" w:rsidDel="00F641D3">
        <w:rPr>
          <w:rFonts w:ascii="Calibri" w:hAnsi="Calibri"/>
        </w:rPr>
        <w:t xml:space="preserve"> </w:t>
      </w:r>
      <w:r w:rsidR="00F641D3" w:rsidRPr="00A6432E">
        <w:rPr>
          <w:rFonts w:ascii="Calibri" w:hAnsi="Calibri"/>
        </w:rPr>
        <w:t xml:space="preserve"> </w:t>
      </w:r>
      <w:r w:rsidR="00F641D3" w:rsidRPr="00A6432E">
        <w:rPr>
          <w:rFonts w:ascii="Calibri" w:hAnsi="Calibri"/>
        </w:rPr>
        <w:fldChar w:fldCharType="begin"/>
      </w:r>
      <w:r w:rsidR="00F641D3" w:rsidRPr="00A6432E">
        <w:rPr>
          <w:rFonts w:ascii="Calibri" w:hAnsi="Calibri"/>
        </w:rPr>
        <w:instrText xml:space="preserve"> REF _Ref17478445 \r \h </w:instrText>
      </w:r>
      <w:r w:rsidR="00A6432E">
        <w:rPr>
          <w:rFonts w:ascii="Calibri" w:hAnsi="Calibri"/>
        </w:rPr>
        <w:instrText xml:space="preserve"> \* MERGEFORMAT </w:instrText>
      </w:r>
      <w:r w:rsidR="00F641D3" w:rsidRPr="00A6432E">
        <w:rPr>
          <w:rFonts w:ascii="Calibri" w:hAnsi="Calibri"/>
        </w:rPr>
      </w:r>
      <w:r w:rsidR="00F641D3" w:rsidRPr="00A6432E">
        <w:rPr>
          <w:rFonts w:ascii="Calibri" w:hAnsi="Calibri"/>
        </w:rPr>
        <w:fldChar w:fldCharType="separate"/>
      </w:r>
      <w:r w:rsidR="00F641D3" w:rsidRPr="00A6432E">
        <w:rPr>
          <w:rFonts w:ascii="Calibri" w:hAnsi="Calibri"/>
        </w:rPr>
        <w:t>[2]</w:t>
      </w:r>
      <w:r w:rsidR="00F641D3" w:rsidRPr="00A6432E">
        <w:rPr>
          <w:rFonts w:ascii="Calibri" w:hAnsi="Calibri"/>
        </w:rPr>
        <w:fldChar w:fldCharType="end"/>
      </w:r>
    </w:p>
    <w:p w14:paraId="6DAF7AAC" w14:textId="77777777" w:rsidR="001522A2" w:rsidRPr="001D32C1" w:rsidRDefault="001522A2" w:rsidP="007E08D8">
      <w:pPr>
        <w:pStyle w:val="BodyText"/>
        <w:rPr>
          <w:rFonts w:ascii="Calibri" w:hAnsi="Calibri"/>
        </w:rPr>
      </w:pPr>
    </w:p>
    <w:p w14:paraId="0001F7F2" w14:textId="77777777" w:rsidR="001522A2" w:rsidRDefault="001522A2" w:rsidP="0050561D">
      <w:pPr>
        <w:pStyle w:val="BodyText"/>
        <w:jc w:val="center"/>
        <w:rPr>
          <w:rFonts w:ascii="Calibri" w:hAnsi="Calibri"/>
          <w:lang w:val="de-DE"/>
        </w:rPr>
      </w:pPr>
      <w:r>
        <w:rPr>
          <w:noProof/>
          <w:lang w:val="de-DE" w:eastAsia="de-DE"/>
        </w:rPr>
        <w:drawing>
          <wp:inline distT="0" distB="0" distL="0" distR="0" wp14:anchorId="7A1E18BC" wp14:editId="6FA7DD14">
            <wp:extent cx="5972810" cy="6152515"/>
            <wp:effectExtent l="0" t="0" r="8890"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72810" cy="6152515"/>
                    </a:xfrm>
                    <a:prstGeom prst="rect">
                      <a:avLst/>
                    </a:prstGeom>
                  </pic:spPr>
                </pic:pic>
              </a:graphicData>
            </a:graphic>
          </wp:inline>
        </w:drawing>
      </w:r>
    </w:p>
    <w:p w14:paraId="6691C246" w14:textId="77777777" w:rsidR="00384FAC" w:rsidRDefault="00503A04" w:rsidP="00503A04">
      <w:pPr>
        <w:pStyle w:val="Figure"/>
        <w:rPr>
          <w:rFonts w:ascii="Calibri" w:hAnsi="Calibri"/>
          <w:lang w:val="de-DE"/>
        </w:rPr>
      </w:pPr>
      <w:r>
        <w:rPr>
          <w:rFonts w:ascii="Calibri" w:hAnsi="Calibri"/>
          <w:lang w:val="de-DE"/>
        </w:rPr>
        <w:t>UV Light Tester</w:t>
      </w:r>
    </w:p>
    <w:p w14:paraId="00D6DC97" w14:textId="77777777" w:rsidR="00503A04" w:rsidRDefault="00503A04" w:rsidP="007E08D8">
      <w:pPr>
        <w:pStyle w:val="BodyText"/>
        <w:rPr>
          <w:rFonts w:ascii="Calibri" w:hAnsi="Calibri"/>
        </w:rPr>
      </w:pPr>
    </w:p>
    <w:p w14:paraId="4DD93012" w14:textId="77777777" w:rsidR="00384FAC" w:rsidRDefault="00384FAC" w:rsidP="007E08D8">
      <w:pPr>
        <w:pStyle w:val="BodyText"/>
        <w:rPr>
          <w:rFonts w:ascii="Calibri" w:hAnsi="Calibri"/>
        </w:rPr>
      </w:pPr>
      <w:proofErr w:type="gramStart"/>
      <w:r>
        <w:rPr>
          <w:rFonts w:ascii="Calibri" w:hAnsi="Calibri"/>
        </w:rPr>
        <w:t>Furthermore</w:t>
      </w:r>
      <w:proofErr w:type="gramEnd"/>
      <w:r>
        <w:rPr>
          <w:rFonts w:ascii="Calibri" w:hAnsi="Calibri"/>
        </w:rPr>
        <w:t xml:space="preserve"> </w:t>
      </w:r>
      <w:r w:rsidRPr="00384FAC">
        <w:rPr>
          <w:rFonts w:ascii="Calibri" w:hAnsi="Calibri"/>
        </w:rPr>
        <w:t xml:space="preserve">TTC uses a </w:t>
      </w:r>
      <w:r>
        <w:rPr>
          <w:rFonts w:ascii="Calibri" w:hAnsi="Calibri"/>
        </w:rPr>
        <w:t xml:space="preserve">Xenon light </w:t>
      </w:r>
      <w:r w:rsidR="00503A04">
        <w:rPr>
          <w:rFonts w:ascii="Calibri" w:hAnsi="Calibri"/>
        </w:rPr>
        <w:t>t</w:t>
      </w:r>
      <w:r>
        <w:rPr>
          <w:rFonts w:ascii="Calibri" w:hAnsi="Calibri"/>
        </w:rPr>
        <w:t>ester</w:t>
      </w:r>
      <w:r w:rsidRPr="00384FAC">
        <w:t xml:space="preserve"> </w:t>
      </w:r>
      <w:r w:rsidRPr="00384FAC">
        <w:rPr>
          <w:rFonts w:ascii="Calibri" w:hAnsi="Calibri"/>
        </w:rPr>
        <w:t>that is described by the manufacturer as follows:</w:t>
      </w:r>
    </w:p>
    <w:p w14:paraId="20160A9E" w14:textId="77777777" w:rsidR="00384FAC" w:rsidRPr="00384FAC" w:rsidRDefault="00503A04" w:rsidP="007E08D8">
      <w:pPr>
        <w:pStyle w:val="BodyText"/>
        <w:rPr>
          <w:rFonts w:ascii="Calibri" w:hAnsi="Calibri"/>
        </w:rPr>
      </w:pPr>
      <w:r>
        <w:rPr>
          <w:rFonts w:ascii="Calibri" w:hAnsi="Calibri"/>
        </w:rPr>
        <w:lastRenderedPageBreak/>
        <w:t>“</w:t>
      </w:r>
      <w:r w:rsidR="00384FAC" w:rsidRPr="00384FAC">
        <w:rPr>
          <w:rFonts w:ascii="Calibri" w:hAnsi="Calibri"/>
        </w:rPr>
        <w:t xml:space="preserve">The Q-SUN Xe-1 tester’s xenon arc lamps provide the best match to the full spectrum of sunlight.  Near-horizontal specimen </w:t>
      </w:r>
      <w:proofErr w:type="gramStart"/>
      <w:r w:rsidR="00384FAC" w:rsidRPr="00384FAC">
        <w:rPr>
          <w:rFonts w:ascii="Calibri" w:hAnsi="Calibri"/>
        </w:rPr>
        <w:t>mounting</w:t>
      </w:r>
      <w:proofErr w:type="gramEnd"/>
      <w:r w:rsidR="00384FAC" w:rsidRPr="00384FAC">
        <w:rPr>
          <w:rFonts w:ascii="Calibri" w:hAnsi="Calibri"/>
        </w:rPr>
        <w:t xml:space="preserve"> and optional water spray provide the most realistic moisture simulation available in a compact xenon arc tester.</w:t>
      </w:r>
      <w:r>
        <w:rPr>
          <w:rFonts w:ascii="Calibri" w:hAnsi="Calibri"/>
        </w:rPr>
        <w:t>”</w:t>
      </w:r>
      <w:r>
        <w:rPr>
          <w:rFonts w:ascii="Calibri" w:hAnsi="Calibri"/>
        </w:rPr>
        <w:fldChar w:fldCharType="begin"/>
      </w:r>
      <w:r>
        <w:rPr>
          <w:rFonts w:ascii="Calibri" w:hAnsi="Calibri"/>
        </w:rPr>
        <w:instrText xml:space="preserve"> REF _Ref17477137 \r \h </w:instrText>
      </w:r>
      <w:r>
        <w:rPr>
          <w:rFonts w:ascii="Calibri" w:hAnsi="Calibri"/>
        </w:rPr>
      </w:r>
      <w:r>
        <w:rPr>
          <w:rFonts w:ascii="Calibri" w:hAnsi="Calibri"/>
        </w:rPr>
        <w:fldChar w:fldCharType="separate"/>
      </w:r>
      <w:r w:rsidR="0050561D">
        <w:rPr>
          <w:rFonts w:ascii="Calibri" w:hAnsi="Calibri"/>
        </w:rPr>
        <w:t>[3]</w:t>
      </w:r>
      <w:r>
        <w:rPr>
          <w:rFonts w:ascii="Calibri" w:hAnsi="Calibri"/>
        </w:rPr>
        <w:fldChar w:fldCharType="end"/>
      </w:r>
    </w:p>
    <w:p w14:paraId="08A219CE" w14:textId="77777777" w:rsidR="004C7E81" w:rsidRDefault="004C7E81" w:rsidP="0050561D">
      <w:pPr>
        <w:pStyle w:val="BodyText"/>
        <w:jc w:val="center"/>
        <w:rPr>
          <w:rFonts w:ascii="Calibri" w:hAnsi="Calibri"/>
          <w:lang w:val="de-DE"/>
        </w:rPr>
      </w:pPr>
      <w:r>
        <w:rPr>
          <w:noProof/>
          <w:lang w:val="de-DE" w:eastAsia="de-DE"/>
        </w:rPr>
        <w:drawing>
          <wp:inline distT="0" distB="0" distL="0" distR="0" wp14:anchorId="15D940FA" wp14:editId="4A9E8246">
            <wp:extent cx="5972810" cy="615950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72810" cy="6159500"/>
                    </a:xfrm>
                    <a:prstGeom prst="rect">
                      <a:avLst/>
                    </a:prstGeom>
                  </pic:spPr>
                </pic:pic>
              </a:graphicData>
            </a:graphic>
          </wp:inline>
        </w:drawing>
      </w:r>
    </w:p>
    <w:p w14:paraId="4DC4B579" w14:textId="77777777" w:rsidR="007E08D8" w:rsidRDefault="00503A04" w:rsidP="00503A04">
      <w:pPr>
        <w:pStyle w:val="Figure"/>
        <w:rPr>
          <w:rFonts w:ascii="Calibri" w:hAnsi="Calibri"/>
          <w:lang w:val="de-DE"/>
        </w:rPr>
      </w:pPr>
      <w:r>
        <w:rPr>
          <w:rFonts w:ascii="Calibri" w:hAnsi="Calibri"/>
          <w:lang w:val="de-DE"/>
        </w:rPr>
        <w:t>Xenon Light Tester</w:t>
      </w:r>
    </w:p>
    <w:p w14:paraId="0E72C14C" w14:textId="77777777" w:rsidR="00503A04" w:rsidRDefault="00503A04" w:rsidP="007E08D8">
      <w:pPr>
        <w:pStyle w:val="BodyText"/>
        <w:rPr>
          <w:rFonts w:ascii="Calibri" w:hAnsi="Calibri"/>
        </w:rPr>
      </w:pPr>
    </w:p>
    <w:p w14:paraId="636E2805" w14:textId="77777777" w:rsidR="001D32C1" w:rsidRPr="00384FAC" w:rsidRDefault="00C671DC" w:rsidP="007E08D8">
      <w:pPr>
        <w:pStyle w:val="BodyText"/>
        <w:rPr>
          <w:rFonts w:ascii="Calibri" w:hAnsi="Calibri"/>
        </w:rPr>
      </w:pPr>
      <w:r w:rsidRPr="00C671DC">
        <w:rPr>
          <w:rFonts w:ascii="Calibri" w:hAnsi="Calibri"/>
        </w:rPr>
        <w:t xml:space="preserve">Both test devices differ considerably, e.g. </w:t>
      </w:r>
      <w:proofErr w:type="gramStart"/>
      <w:r w:rsidRPr="00C671DC">
        <w:rPr>
          <w:rFonts w:ascii="Calibri" w:hAnsi="Calibri"/>
        </w:rPr>
        <w:t>with regard to</w:t>
      </w:r>
      <w:proofErr w:type="gramEnd"/>
      <w:r w:rsidRPr="00C671DC">
        <w:rPr>
          <w:rFonts w:ascii="Calibri" w:hAnsi="Calibri"/>
        </w:rPr>
        <w:t xml:space="preserve"> the number of sample places, the light spectrum used, etc. and finally also in the initial and operating costs.</w:t>
      </w:r>
    </w:p>
    <w:p w14:paraId="1402367D" w14:textId="77777777" w:rsidR="001D32C1" w:rsidRPr="00384FAC" w:rsidRDefault="001D32C1" w:rsidP="007E08D8">
      <w:pPr>
        <w:pStyle w:val="BodyText"/>
        <w:rPr>
          <w:rFonts w:ascii="Calibri" w:hAnsi="Calibri"/>
        </w:rPr>
      </w:pPr>
    </w:p>
    <w:p w14:paraId="33F117C0" w14:textId="77777777" w:rsidR="0050561D" w:rsidRPr="0032555A" w:rsidRDefault="0050561D">
      <w:pPr>
        <w:rPr>
          <w:rFonts w:ascii="Calibri" w:hAnsi="Calibri"/>
          <w:b/>
          <w:caps/>
          <w:color w:val="0070C0"/>
          <w:kern w:val="28"/>
          <w:sz w:val="24"/>
          <w:lang w:eastAsia="de-DE"/>
        </w:rPr>
      </w:pPr>
      <w:r w:rsidRPr="0032555A">
        <w:br w:type="page"/>
      </w:r>
    </w:p>
    <w:p w14:paraId="4328FF62" w14:textId="77777777" w:rsidR="00A446C9" w:rsidRPr="007E08D8" w:rsidRDefault="00C24EFE" w:rsidP="00605E43">
      <w:pPr>
        <w:pStyle w:val="Heading1"/>
        <w:rPr>
          <w:lang w:val="de-DE"/>
        </w:rPr>
      </w:pPr>
      <w:r>
        <w:rPr>
          <w:lang w:val="de-DE"/>
        </w:rPr>
        <w:lastRenderedPageBreak/>
        <w:t>Results</w:t>
      </w:r>
    </w:p>
    <w:p w14:paraId="16DA3C41" w14:textId="77777777" w:rsidR="00C24EFE" w:rsidRDefault="00C671DC" w:rsidP="00A446C9">
      <w:pPr>
        <w:pStyle w:val="BodyText"/>
        <w:rPr>
          <w:rFonts w:ascii="Calibri" w:hAnsi="Calibri"/>
        </w:rPr>
      </w:pPr>
      <w:r w:rsidRPr="00C671DC">
        <w:rPr>
          <w:rFonts w:ascii="Calibri" w:hAnsi="Calibri"/>
        </w:rPr>
        <w:t>Time series of the measurements show that colours have different lifetimes and "age in different ways".</w:t>
      </w:r>
    </w:p>
    <w:p w14:paraId="4D46416F" w14:textId="77777777" w:rsidR="00C24EFE" w:rsidRDefault="00C24EFE" w:rsidP="00A446C9">
      <w:pPr>
        <w:pStyle w:val="BodyText"/>
        <w:rPr>
          <w:rFonts w:ascii="Calibri" w:hAnsi="Calibri"/>
        </w:rPr>
      </w:pPr>
    </w:p>
    <w:p w14:paraId="1B492587" w14:textId="77777777" w:rsidR="00C24EFE" w:rsidRDefault="00C24EFE" w:rsidP="0050561D">
      <w:pPr>
        <w:pStyle w:val="BodyText"/>
        <w:jc w:val="center"/>
        <w:rPr>
          <w:rFonts w:ascii="Calibri" w:hAnsi="Calibri"/>
        </w:rPr>
      </w:pPr>
      <w:r>
        <w:rPr>
          <w:noProof/>
          <w:lang w:val="de-DE" w:eastAsia="de-DE"/>
        </w:rPr>
        <w:drawing>
          <wp:inline distT="0" distB="0" distL="0" distR="0" wp14:anchorId="3DF88DE6" wp14:editId="03687B90">
            <wp:extent cx="5366657" cy="3169443"/>
            <wp:effectExtent l="0" t="0" r="571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67348" cy="3169851"/>
                    </a:xfrm>
                    <a:prstGeom prst="rect">
                      <a:avLst/>
                    </a:prstGeom>
                  </pic:spPr>
                </pic:pic>
              </a:graphicData>
            </a:graphic>
          </wp:inline>
        </w:drawing>
      </w:r>
    </w:p>
    <w:p w14:paraId="60317C97" w14:textId="77777777" w:rsidR="008A7603" w:rsidRDefault="00503A04" w:rsidP="00503A04">
      <w:pPr>
        <w:pStyle w:val="Figure"/>
        <w:rPr>
          <w:rFonts w:ascii="Calibri" w:hAnsi="Calibri"/>
        </w:rPr>
      </w:pPr>
      <w:r w:rsidRPr="00503A04">
        <w:rPr>
          <w:rFonts w:ascii="Calibri" w:hAnsi="Calibri"/>
        </w:rPr>
        <w:t>Time series of the measurements</w:t>
      </w:r>
    </w:p>
    <w:p w14:paraId="658590CF" w14:textId="77777777" w:rsidR="00503A04" w:rsidRDefault="00503A04" w:rsidP="00A446C9">
      <w:pPr>
        <w:pStyle w:val="BodyText"/>
        <w:rPr>
          <w:rFonts w:ascii="Calibri" w:hAnsi="Calibri"/>
        </w:rPr>
      </w:pPr>
    </w:p>
    <w:p w14:paraId="50113AE0" w14:textId="7D24D110" w:rsidR="008A7603" w:rsidRDefault="00503A04" w:rsidP="00A446C9">
      <w:pPr>
        <w:pStyle w:val="BodyText"/>
        <w:rPr>
          <w:rFonts w:ascii="Calibri" w:hAnsi="Calibri"/>
        </w:rPr>
      </w:pPr>
      <w:r w:rsidRPr="00503A04">
        <w:rPr>
          <w:rFonts w:ascii="Calibri" w:hAnsi="Calibri"/>
        </w:rPr>
        <w:t xml:space="preserve">It is also not predictable which of the </w:t>
      </w:r>
      <w:r w:rsidR="007943FD">
        <w:rPr>
          <w:rFonts w:ascii="Calibri" w:hAnsi="Calibri"/>
        </w:rPr>
        <w:t>two</w:t>
      </w:r>
      <w:r w:rsidR="007943FD" w:rsidRPr="00503A04">
        <w:rPr>
          <w:rFonts w:ascii="Calibri" w:hAnsi="Calibri"/>
        </w:rPr>
        <w:t xml:space="preserve"> </w:t>
      </w:r>
      <w:r w:rsidRPr="00503A04">
        <w:rPr>
          <w:rFonts w:ascii="Calibri" w:hAnsi="Calibri"/>
        </w:rPr>
        <w:t xml:space="preserve">factors </w:t>
      </w:r>
      <w:r>
        <w:rPr>
          <w:rFonts w:ascii="Calibri" w:hAnsi="Calibri"/>
        </w:rPr>
        <w:t>(</w:t>
      </w:r>
      <w:r w:rsidRPr="00503A04">
        <w:rPr>
          <w:rFonts w:ascii="Calibri" w:hAnsi="Calibri"/>
        </w:rPr>
        <w:t>Chromaticity coordinates</w:t>
      </w:r>
      <w:r w:rsidR="007943FD">
        <w:rPr>
          <w:rFonts w:ascii="Calibri" w:hAnsi="Calibri"/>
        </w:rPr>
        <w:t xml:space="preserve"> or</w:t>
      </w:r>
      <w:r w:rsidRPr="00503A04">
        <w:rPr>
          <w:rFonts w:ascii="Calibri" w:hAnsi="Calibri"/>
        </w:rPr>
        <w:t xml:space="preserve"> Luminance factor</w:t>
      </w:r>
      <w:r>
        <w:rPr>
          <w:rFonts w:ascii="Calibri" w:hAnsi="Calibri"/>
        </w:rPr>
        <w:t xml:space="preserve">) </w:t>
      </w:r>
      <w:r w:rsidRPr="00503A04">
        <w:rPr>
          <w:rFonts w:ascii="Calibri" w:hAnsi="Calibri"/>
        </w:rPr>
        <w:t>will fall short of the specifications first.</w:t>
      </w:r>
      <w:r w:rsidR="003817A5">
        <w:rPr>
          <w:rFonts w:ascii="Calibri" w:hAnsi="Calibri"/>
        </w:rPr>
        <w:t xml:space="preserve">  </w:t>
      </w:r>
      <w:r w:rsidR="003817A5" w:rsidRPr="003817A5">
        <w:rPr>
          <w:rFonts w:ascii="Calibri" w:hAnsi="Calibri"/>
        </w:rPr>
        <w:t xml:space="preserve">Sometimes it takes years before the reference measurements from natural weathering </w:t>
      </w:r>
      <w:r w:rsidR="003817A5">
        <w:rPr>
          <w:rFonts w:ascii="Calibri" w:hAnsi="Calibri"/>
        </w:rPr>
        <w:t xml:space="preserve">(e.g. according </w:t>
      </w:r>
      <w:r w:rsidR="003817A5" w:rsidRPr="003817A5">
        <w:rPr>
          <w:rFonts w:ascii="Calibri" w:hAnsi="Calibri"/>
        </w:rPr>
        <w:t xml:space="preserve">to </w:t>
      </w:r>
      <w:r w:rsidR="003D0DFF">
        <w:rPr>
          <w:rFonts w:ascii="Calibri" w:hAnsi="Calibri"/>
        </w:rPr>
        <w:t>artificial</w:t>
      </w:r>
      <w:r w:rsidR="003817A5" w:rsidRPr="003817A5">
        <w:rPr>
          <w:rFonts w:ascii="Calibri" w:hAnsi="Calibri"/>
        </w:rPr>
        <w:t xml:space="preserve"> weathering</w:t>
      </w:r>
      <w:r w:rsidR="003817A5">
        <w:rPr>
          <w:rFonts w:ascii="Calibri" w:hAnsi="Calibri"/>
        </w:rPr>
        <w:t xml:space="preserve"> result</w:t>
      </w:r>
      <w:r w:rsidR="003D0DFF">
        <w:rPr>
          <w:rFonts w:ascii="Calibri" w:hAnsi="Calibri"/>
        </w:rPr>
        <w:t>s</w:t>
      </w:r>
      <w:r w:rsidR="003817A5">
        <w:rPr>
          <w:rFonts w:ascii="Calibri" w:hAnsi="Calibri"/>
        </w:rPr>
        <w:t xml:space="preserve"> in</w:t>
      </w:r>
      <w:r w:rsidR="003D0DFF">
        <w:rPr>
          <w:rFonts w:ascii="Calibri" w:hAnsi="Calibri"/>
        </w:rPr>
        <w:t xml:space="preserve"> Figure</w:t>
      </w:r>
      <w:r w:rsidR="003817A5">
        <w:rPr>
          <w:rFonts w:ascii="Calibri" w:hAnsi="Calibri"/>
        </w:rPr>
        <w:t xml:space="preserve"> </w:t>
      </w:r>
      <w:r w:rsidR="0050561D">
        <w:rPr>
          <w:rFonts w:ascii="Calibri" w:hAnsi="Calibri"/>
        </w:rPr>
        <w:t>6</w:t>
      </w:r>
      <w:r w:rsidR="003D0DFF">
        <w:rPr>
          <w:rFonts w:ascii="Calibri" w:hAnsi="Calibri"/>
        </w:rPr>
        <w:t xml:space="preserve"> “</w:t>
      </w:r>
      <w:r w:rsidR="003D0DFF">
        <w:rPr>
          <w:rFonts w:ascii="Calibri" w:hAnsi="Calibri"/>
        </w:rPr>
        <w:fldChar w:fldCharType="begin"/>
      </w:r>
      <w:r w:rsidR="003D0DFF">
        <w:rPr>
          <w:rFonts w:ascii="Calibri" w:hAnsi="Calibri"/>
        </w:rPr>
        <w:instrText xml:space="preserve"> REF _Ref17477786 \h </w:instrText>
      </w:r>
      <w:r w:rsidR="003D0DFF">
        <w:rPr>
          <w:rFonts w:ascii="Calibri" w:hAnsi="Calibri"/>
        </w:rPr>
      </w:r>
      <w:r w:rsidR="003D0DFF">
        <w:rPr>
          <w:rFonts w:ascii="Calibri" w:hAnsi="Calibri"/>
        </w:rPr>
        <w:fldChar w:fldCharType="separate"/>
      </w:r>
      <w:r w:rsidR="0050561D" w:rsidRPr="00F76E9F">
        <w:rPr>
          <w:rFonts w:ascii="Calibri" w:hAnsi="Calibri"/>
        </w:rPr>
        <w:t>Evaluation</w:t>
      </w:r>
      <w:r w:rsidR="003D0DFF">
        <w:rPr>
          <w:rFonts w:ascii="Calibri" w:hAnsi="Calibri"/>
        </w:rPr>
        <w:fldChar w:fldCharType="end"/>
      </w:r>
      <w:r w:rsidR="003D0DFF">
        <w:rPr>
          <w:rFonts w:ascii="Calibri" w:hAnsi="Calibri"/>
        </w:rPr>
        <w:t>”)</w:t>
      </w:r>
      <w:r w:rsidR="003817A5" w:rsidRPr="003817A5">
        <w:rPr>
          <w:rFonts w:ascii="Calibri" w:hAnsi="Calibri"/>
        </w:rPr>
        <w:t xml:space="preserve"> are available. In some </w:t>
      </w:r>
      <w:proofErr w:type="gramStart"/>
      <w:r w:rsidR="003817A5" w:rsidRPr="003817A5">
        <w:rPr>
          <w:rFonts w:ascii="Calibri" w:hAnsi="Calibri"/>
        </w:rPr>
        <w:t>cases</w:t>
      </w:r>
      <w:proofErr w:type="gramEnd"/>
      <w:r w:rsidR="003817A5" w:rsidRPr="003817A5">
        <w:rPr>
          <w:rFonts w:ascii="Calibri" w:hAnsi="Calibri"/>
        </w:rPr>
        <w:t xml:space="preserve"> the </w:t>
      </w:r>
      <w:r w:rsidR="0087562A" w:rsidRPr="003817A5">
        <w:rPr>
          <w:rFonts w:ascii="Calibri" w:hAnsi="Calibri"/>
        </w:rPr>
        <w:t>colours are</w:t>
      </w:r>
      <w:r w:rsidR="00F641D3" w:rsidRPr="003817A5">
        <w:rPr>
          <w:rFonts w:ascii="Calibri" w:hAnsi="Calibri"/>
        </w:rPr>
        <w:t xml:space="preserve"> </w:t>
      </w:r>
      <w:r w:rsidR="003817A5" w:rsidRPr="003817A5">
        <w:rPr>
          <w:rFonts w:ascii="Calibri" w:hAnsi="Calibri"/>
        </w:rPr>
        <w:t xml:space="preserve">no longer available </w:t>
      </w:r>
      <w:r w:rsidR="00A6432E">
        <w:rPr>
          <w:rFonts w:ascii="Calibri" w:hAnsi="Calibri"/>
        </w:rPr>
        <w:t>at</w:t>
      </w:r>
      <w:r w:rsidR="003817A5" w:rsidRPr="003817A5">
        <w:rPr>
          <w:rFonts w:ascii="Calibri" w:hAnsi="Calibri"/>
        </w:rPr>
        <w:t xml:space="preserve"> the market.</w:t>
      </w:r>
    </w:p>
    <w:p w14:paraId="400C8FDF" w14:textId="77777777" w:rsidR="008A7603" w:rsidRDefault="008A7603" w:rsidP="0050561D">
      <w:pPr>
        <w:pStyle w:val="BodyText"/>
        <w:keepNext/>
        <w:jc w:val="center"/>
      </w:pPr>
      <w:r w:rsidRPr="007F7C56">
        <w:rPr>
          <w:rFonts w:ascii="Calibri" w:hAnsi="Calibri"/>
          <w:noProof/>
          <w:lang w:val="de-DE" w:eastAsia="de-DE"/>
        </w:rPr>
        <w:drawing>
          <wp:inline distT="0" distB="0" distL="0" distR="0" wp14:anchorId="5A58EFF8" wp14:editId="20FAE0D3">
            <wp:extent cx="4200024" cy="2960914"/>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204901" cy="2964352"/>
                    </a:xfrm>
                    <a:prstGeom prst="rect">
                      <a:avLst/>
                    </a:prstGeom>
                  </pic:spPr>
                </pic:pic>
              </a:graphicData>
            </a:graphic>
          </wp:inline>
        </w:drawing>
      </w:r>
    </w:p>
    <w:p w14:paraId="3CF83873" w14:textId="77777777" w:rsidR="008A7603" w:rsidRDefault="008A7603" w:rsidP="008A7603">
      <w:pPr>
        <w:pStyle w:val="Figure"/>
        <w:rPr>
          <w:rFonts w:ascii="Calibri" w:hAnsi="Calibri"/>
        </w:rPr>
      </w:pPr>
      <w:bookmarkStart w:id="0" w:name="_Ref17477786"/>
      <w:r w:rsidRPr="00F76E9F">
        <w:rPr>
          <w:rFonts w:ascii="Calibri" w:hAnsi="Calibri"/>
        </w:rPr>
        <w:t>Evaluation</w:t>
      </w:r>
      <w:bookmarkEnd w:id="0"/>
    </w:p>
    <w:p w14:paraId="199A76D6" w14:textId="77777777" w:rsidR="008A7603" w:rsidRDefault="008A7603" w:rsidP="00A446C9">
      <w:pPr>
        <w:pStyle w:val="BodyText"/>
        <w:rPr>
          <w:rFonts w:ascii="Calibri" w:hAnsi="Calibri"/>
        </w:rPr>
      </w:pPr>
    </w:p>
    <w:p w14:paraId="55CDA82A" w14:textId="77777777" w:rsidR="0050561D" w:rsidRDefault="0050561D">
      <w:pPr>
        <w:rPr>
          <w:rFonts w:ascii="Calibri" w:hAnsi="Calibri"/>
        </w:rPr>
      </w:pPr>
      <w:r>
        <w:rPr>
          <w:rFonts w:ascii="Calibri" w:hAnsi="Calibri"/>
        </w:rPr>
        <w:br w:type="page"/>
      </w:r>
    </w:p>
    <w:p w14:paraId="4DB9247B" w14:textId="32302CAB" w:rsidR="00C671DC" w:rsidRDefault="00C671DC" w:rsidP="00A446C9">
      <w:pPr>
        <w:pStyle w:val="BodyText"/>
        <w:rPr>
          <w:rFonts w:ascii="Calibri" w:hAnsi="Calibri"/>
        </w:rPr>
      </w:pPr>
      <w:r w:rsidRPr="00C671DC">
        <w:rPr>
          <w:rFonts w:ascii="Calibri" w:hAnsi="Calibri"/>
        </w:rPr>
        <w:lastRenderedPageBreak/>
        <w:t>Samples also occasionally show damage</w:t>
      </w:r>
      <w:r w:rsidR="00A6432E">
        <w:rPr>
          <w:rFonts w:ascii="Calibri" w:hAnsi="Calibri"/>
        </w:rPr>
        <w:t>s</w:t>
      </w:r>
      <w:r w:rsidRPr="00C671DC">
        <w:rPr>
          <w:rFonts w:ascii="Calibri" w:hAnsi="Calibri"/>
        </w:rPr>
        <w:t xml:space="preserve"> that affect testing and comparability.</w:t>
      </w:r>
    </w:p>
    <w:p w14:paraId="52B958A0" w14:textId="77777777" w:rsidR="00C671DC" w:rsidRDefault="00C671DC" w:rsidP="00A446C9">
      <w:pPr>
        <w:pStyle w:val="BodyText"/>
        <w:rPr>
          <w:rFonts w:ascii="Calibri" w:hAnsi="Calibri"/>
        </w:rPr>
      </w:pPr>
    </w:p>
    <w:p w14:paraId="2B89D914" w14:textId="77777777" w:rsidR="00C24EFE" w:rsidRDefault="00C671DC" w:rsidP="0050561D">
      <w:pPr>
        <w:pStyle w:val="BodyText"/>
        <w:jc w:val="center"/>
        <w:rPr>
          <w:rFonts w:ascii="Calibri" w:hAnsi="Calibri"/>
        </w:rPr>
      </w:pPr>
      <w:r>
        <w:rPr>
          <w:noProof/>
          <w:lang w:val="de-DE" w:eastAsia="de-DE"/>
        </w:rPr>
        <w:drawing>
          <wp:inline distT="0" distB="0" distL="0" distR="0" wp14:anchorId="538FCF6D" wp14:editId="4F155B18">
            <wp:extent cx="5972810" cy="2961005"/>
            <wp:effectExtent l="0" t="0" r="889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72810" cy="2961005"/>
                    </a:xfrm>
                    <a:prstGeom prst="rect">
                      <a:avLst/>
                    </a:prstGeom>
                  </pic:spPr>
                </pic:pic>
              </a:graphicData>
            </a:graphic>
          </wp:inline>
        </w:drawing>
      </w:r>
    </w:p>
    <w:p w14:paraId="62599DC5" w14:textId="77777777" w:rsidR="00C671DC" w:rsidRDefault="00503A04" w:rsidP="00503A04">
      <w:pPr>
        <w:pStyle w:val="Figure"/>
        <w:rPr>
          <w:rFonts w:ascii="Calibri" w:hAnsi="Calibri"/>
        </w:rPr>
      </w:pPr>
      <w:r>
        <w:rPr>
          <w:rFonts w:ascii="Calibri" w:hAnsi="Calibri"/>
        </w:rPr>
        <w:t>Test samples</w:t>
      </w:r>
    </w:p>
    <w:p w14:paraId="656BCFEF" w14:textId="36CA2461" w:rsidR="00F641D3" w:rsidRPr="00A6432E" w:rsidRDefault="00F641D3" w:rsidP="00F641D3">
      <w:pPr>
        <w:pStyle w:val="BodyText"/>
        <w:rPr>
          <w:rFonts w:ascii="Calibri" w:hAnsi="Calibri"/>
        </w:rPr>
      </w:pPr>
      <w:r w:rsidRPr="00A6432E">
        <w:rPr>
          <w:rFonts w:ascii="Calibri" w:hAnsi="Calibri"/>
        </w:rPr>
        <w:t xml:space="preserve">Despite the still missing correlation </w:t>
      </w:r>
      <w:r w:rsidR="00A6432E" w:rsidRPr="00A6432E">
        <w:rPr>
          <w:rFonts w:ascii="Calibri" w:hAnsi="Calibri"/>
        </w:rPr>
        <w:t xml:space="preserve">of </w:t>
      </w:r>
      <w:r w:rsidRPr="00A6432E">
        <w:rPr>
          <w:rFonts w:ascii="Calibri" w:hAnsi="Calibri"/>
        </w:rPr>
        <w:t>the results artificial weathering ha</w:t>
      </w:r>
      <w:r w:rsidR="00A6432E">
        <w:rPr>
          <w:rFonts w:ascii="Calibri" w:hAnsi="Calibri"/>
        </w:rPr>
        <w:t>s</w:t>
      </w:r>
      <w:r w:rsidRPr="00A6432E">
        <w:rPr>
          <w:rFonts w:ascii="Calibri" w:hAnsi="Calibri"/>
        </w:rPr>
        <w:t xml:space="preserve"> a high benefit. </w:t>
      </w:r>
      <w:r w:rsidR="00A6432E">
        <w:rPr>
          <w:rFonts w:ascii="Calibri" w:hAnsi="Calibri"/>
        </w:rPr>
        <w:t>Results</w:t>
      </w:r>
      <w:r w:rsidRPr="00A6432E">
        <w:rPr>
          <w:rFonts w:ascii="Calibri" w:hAnsi="Calibri"/>
        </w:rPr>
        <w:t xml:space="preserve"> allow to compare different products with each other. Although it is not possible to determine how long a product remains stable </w:t>
      </w:r>
      <w:r w:rsidR="00A6432E">
        <w:rPr>
          <w:rFonts w:ascii="Calibri" w:hAnsi="Calibri"/>
        </w:rPr>
        <w:t xml:space="preserve">in the specified </w:t>
      </w:r>
      <w:r w:rsidR="00A6432E" w:rsidRPr="00A6432E">
        <w:rPr>
          <w:rFonts w:ascii="Calibri" w:hAnsi="Calibri"/>
        </w:rPr>
        <w:t xml:space="preserve">colour </w:t>
      </w:r>
      <w:r w:rsidR="00A6432E">
        <w:rPr>
          <w:rFonts w:ascii="Calibri" w:hAnsi="Calibri"/>
        </w:rPr>
        <w:t>regions</w:t>
      </w:r>
      <w:r w:rsidRPr="00A6432E">
        <w:rPr>
          <w:rFonts w:ascii="Calibri" w:hAnsi="Calibri"/>
        </w:rPr>
        <w:t xml:space="preserve">, it is possible to determine whether a product has a high, medium or low colour stability compared to others. </w:t>
      </w:r>
      <w:r w:rsidR="00A6432E">
        <w:rPr>
          <w:rFonts w:ascii="Calibri" w:hAnsi="Calibri"/>
        </w:rPr>
        <w:t xml:space="preserve">Knowing this gives an advice to </w:t>
      </w:r>
      <w:r w:rsidR="00A6432E" w:rsidRPr="00A6432E">
        <w:rPr>
          <w:rFonts w:ascii="Calibri" w:hAnsi="Calibri"/>
        </w:rPr>
        <w:t xml:space="preserve">distinguish </w:t>
      </w:r>
      <w:r w:rsidRPr="00A6432E">
        <w:rPr>
          <w:rFonts w:ascii="Calibri" w:hAnsi="Calibri"/>
        </w:rPr>
        <w:t>good products from poor ones.</w:t>
      </w:r>
    </w:p>
    <w:p w14:paraId="5CA2BE1C" w14:textId="77777777" w:rsidR="00180DDA" w:rsidRPr="007A395D" w:rsidRDefault="00180DDA" w:rsidP="00605E43">
      <w:pPr>
        <w:pStyle w:val="Heading1"/>
      </w:pPr>
      <w:r w:rsidRPr="007A395D">
        <w:t>References</w:t>
      </w:r>
    </w:p>
    <w:p w14:paraId="6A642664" w14:textId="77777777" w:rsidR="00503A04" w:rsidRPr="00503A04" w:rsidRDefault="00503A04" w:rsidP="00503A04">
      <w:pPr>
        <w:pStyle w:val="References"/>
        <w:rPr>
          <w:rFonts w:ascii="Calibri" w:hAnsi="Calibri"/>
        </w:rPr>
      </w:pPr>
      <w:bookmarkStart w:id="1" w:name="_Ref17476975"/>
      <w:r w:rsidRPr="00503A04">
        <w:rPr>
          <w:rFonts w:ascii="Calibri" w:hAnsi="Calibri"/>
        </w:rPr>
        <w:t xml:space="preserve">IALA G1134 Surface Colours used as Visual Signals on </w:t>
      </w:r>
      <w:proofErr w:type="spellStart"/>
      <w:r w:rsidRPr="00503A04">
        <w:rPr>
          <w:rFonts w:ascii="Calibri" w:hAnsi="Calibri"/>
        </w:rPr>
        <w:t>AtoN</w:t>
      </w:r>
      <w:proofErr w:type="spellEnd"/>
      <w:r w:rsidRPr="00503A04">
        <w:rPr>
          <w:rFonts w:ascii="Calibri" w:hAnsi="Calibri"/>
        </w:rPr>
        <w:t xml:space="preserve"> </w:t>
      </w:r>
      <w:r>
        <w:rPr>
          <w:rFonts w:ascii="Calibri" w:hAnsi="Calibri"/>
        </w:rPr>
        <w:br/>
      </w:r>
      <w:hyperlink r:id="rId15" w:history="1">
        <w:r w:rsidRPr="00503A04">
          <w:rPr>
            <w:rStyle w:val="Hyperlink"/>
            <w:rFonts w:ascii="Calibri" w:hAnsi="Calibri"/>
          </w:rPr>
          <w:t>https://www.iala-aism.org/product/g1134-surface-colours-used-visual-signals-aton/?download=true</w:t>
        </w:r>
      </w:hyperlink>
      <w:bookmarkEnd w:id="1"/>
    </w:p>
    <w:p w14:paraId="1F21AB96" w14:textId="77777777" w:rsidR="00180DDA" w:rsidRPr="00503A04" w:rsidRDefault="00503A04" w:rsidP="00503A04">
      <w:pPr>
        <w:pStyle w:val="References"/>
        <w:rPr>
          <w:rFonts w:ascii="Calibri" w:hAnsi="Calibri"/>
        </w:rPr>
      </w:pPr>
      <w:bookmarkStart w:id="2" w:name="_Ref17478445"/>
      <w:r w:rsidRPr="00503A04">
        <w:rPr>
          <w:rFonts w:ascii="Calibri" w:hAnsi="Calibri"/>
        </w:rPr>
        <w:t>QUV Accelerated Weathering Tester</w:t>
      </w:r>
      <w:r w:rsidRPr="00503A04">
        <w:rPr>
          <w:rFonts w:ascii="Calibri" w:hAnsi="Calibri"/>
        </w:rPr>
        <w:br/>
        <w:t>https://q-lab.com/products/quv-weathering-tester/quv</w:t>
      </w:r>
      <w:bookmarkEnd w:id="2"/>
    </w:p>
    <w:p w14:paraId="69C06A7D" w14:textId="77777777" w:rsidR="00180DDA" w:rsidRPr="007A395D" w:rsidRDefault="00503A04" w:rsidP="00503A04">
      <w:pPr>
        <w:pStyle w:val="References"/>
        <w:rPr>
          <w:rFonts w:ascii="Calibri" w:hAnsi="Calibri"/>
          <w:lang w:eastAsia="de-DE"/>
        </w:rPr>
      </w:pPr>
      <w:bookmarkStart w:id="3" w:name="_Ref17477137"/>
      <w:r w:rsidRPr="00503A04">
        <w:rPr>
          <w:rFonts w:ascii="Calibri" w:hAnsi="Calibri"/>
          <w:lang w:eastAsia="de-DE"/>
        </w:rPr>
        <w:t>Q-SUN Xe-1 Xenon Test Chamber</w:t>
      </w:r>
      <w:r>
        <w:rPr>
          <w:rFonts w:ascii="Calibri" w:hAnsi="Calibri"/>
          <w:lang w:eastAsia="de-DE"/>
        </w:rPr>
        <w:br/>
      </w:r>
      <w:r w:rsidRPr="00503A04">
        <w:rPr>
          <w:rFonts w:ascii="Calibri" w:hAnsi="Calibri"/>
          <w:lang w:eastAsia="de-DE"/>
        </w:rPr>
        <w:t>https://q-lab.com/products/q-sun-xenon-arc-test-chambers/q-sun-xe-1</w:t>
      </w:r>
      <w:bookmarkEnd w:id="3"/>
    </w:p>
    <w:p w14:paraId="15C224D0" w14:textId="77777777" w:rsidR="004D1D85" w:rsidRDefault="004D1D85" w:rsidP="004D1D85">
      <w:pPr>
        <w:pStyle w:val="List1"/>
        <w:numPr>
          <w:ilvl w:val="0"/>
          <w:numId w:val="0"/>
        </w:numPr>
        <w:ind w:left="567" w:hanging="567"/>
        <w:rPr>
          <w:rFonts w:ascii="Calibri" w:hAnsi="Calibri"/>
        </w:rPr>
      </w:pPr>
    </w:p>
    <w:p w14:paraId="5615173A" w14:textId="77777777" w:rsidR="0087562A" w:rsidRDefault="0087562A" w:rsidP="0087562A">
      <w:pPr>
        <w:pStyle w:val="Heading1"/>
      </w:pPr>
      <w:r>
        <w:t>Action requested of the Committee</w:t>
      </w:r>
    </w:p>
    <w:p w14:paraId="0228EEC1" w14:textId="77777777" w:rsidR="0087562A" w:rsidRDefault="0087562A" w:rsidP="0087562A">
      <w:pPr>
        <w:pStyle w:val="BodyText"/>
        <w:rPr>
          <w:rFonts w:ascii="Calibri" w:hAnsi="Calibri"/>
        </w:rPr>
      </w:pPr>
      <w:r>
        <w:rPr>
          <w:rFonts w:ascii="Calibri" w:hAnsi="Calibri"/>
        </w:rPr>
        <w:t xml:space="preserve">The Committee is requested to: </w:t>
      </w:r>
    </w:p>
    <w:p w14:paraId="775C1E0E" w14:textId="54EE711A" w:rsidR="0087562A" w:rsidRDefault="0087562A" w:rsidP="0087562A">
      <w:pPr>
        <w:pStyle w:val="List1"/>
        <w:numPr>
          <w:ilvl w:val="0"/>
          <w:numId w:val="20"/>
        </w:numPr>
        <w:rPr>
          <w:rFonts w:ascii="Calibri" w:hAnsi="Calibri"/>
        </w:rPr>
      </w:pPr>
      <w:r>
        <w:rPr>
          <w:rFonts w:ascii="Calibri" w:hAnsi="Calibri"/>
        </w:rPr>
        <w:t>Note the information provided in this paper and take action as appropriate</w:t>
      </w:r>
      <w:bookmarkStart w:id="4" w:name="_GoBack"/>
      <w:bookmarkEnd w:id="4"/>
      <w:r>
        <w:rPr>
          <w:rFonts w:ascii="Calibri" w:hAnsi="Calibri"/>
        </w:rPr>
        <w:t>.</w:t>
      </w:r>
    </w:p>
    <w:p w14:paraId="540B0C83" w14:textId="77777777" w:rsidR="003817A5" w:rsidRDefault="003817A5" w:rsidP="004D1D85">
      <w:pPr>
        <w:pStyle w:val="List1"/>
        <w:numPr>
          <w:ilvl w:val="0"/>
          <w:numId w:val="0"/>
        </w:numPr>
        <w:ind w:left="567" w:hanging="567"/>
        <w:rPr>
          <w:rFonts w:ascii="Calibri" w:hAnsi="Calibri"/>
        </w:rPr>
      </w:pPr>
    </w:p>
    <w:p w14:paraId="46EBEC55" w14:textId="77777777" w:rsidR="003817A5" w:rsidRPr="007A395D" w:rsidRDefault="003817A5" w:rsidP="004D1D85">
      <w:pPr>
        <w:pStyle w:val="List1"/>
        <w:numPr>
          <w:ilvl w:val="0"/>
          <w:numId w:val="0"/>
        </w:numPr>
        <w:ind w:left="567" w:hanging="567"/>
        <w:rPr>
          <w:rFonts w:ascii="Calibri" w:hAnsi="Calibri"/>
        </w:rPr>
      </w:pPr>
    </w:p>
    <w:sectPr w:rsidR="003817A5" w:rsidRPr="007A395D" w:rsidSect="0082480E">
      <w:headerReference w:type="even" r:id="rId16"/>
      <w:headerReference w:type="default" r:id="rId17"/>
      <w:footerReference w:type="default" r:id="rId18"/>
      <w:headerReference w:type="first" r:id="rId1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8504F4" w14:textId="77777777" w:rsidR="009F4263" w:rsidRDefault="009F4263" w:rsidP="00362CD9">
      <w:r>
        <w:separator/>
      </w:r>
    </w:p>
  </w:endnote>
  <w:endnote w:type="continuationSeparator" w:id="0">
    <w:p w14:paraId="63929BA3" w14:textId="77777777" w:rsidR="009F4263" w:rsidRDefault="009F4263"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C92B9" w14:textId="405BE939" w:rsidR="00362CD9" w:rsidRPr="00036B9E" w:rsidRDefault="0087562A">
    <w:pPr>
      <w:pStyle w:val="Footer"/>
      <w:rPr>
        <w:rFonts w:ascii="Calibri" w:hAnsi="Calibri"/>
      </w:rPr>
    </w:pPr>
    <w:r>
      <w:rPr>
        <w:rFonts w:ascii="Calibri" w:hAnsi="Calibri"/>
        <w:sz w:val="20"/>
        <w:szCs w:val="20"/>
      </w:rPr>
      <w:t>Colour fading</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C70A72">
      <w:rPr>
        <w:rFonts w:ascii="Calibri" w:hAnsi="Calibri"/>
        <w:noProof/>
      </w:rPr>
      <w:t>6</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69ED7C" w14:textId="77777777" w:rsidR="009F4263" w:rsidRDefault="009F4263" w:rsidP="00362CD9">
      <w:r>
        <w:separator/>
      </w:r>
    </w:p>
  </w:footnote>
  <w:footnote w:type="continuationSeparator" w:id="0">
    <w:p w14:paraId="3C322DC1" w14:textId="77777777" w:rsidR="009F4263" w:rsidRDefault="009F4263" w:rsidP="00362CD9">
      <w:r>
        <w:continuationSeparator/>
      </w:r>
    </w:p>
  </w:footnote>
  <w:footnote w:id="1">
    <w:p w14:paraId="14077782" w14:textId="77777777"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7D8084F9" w14:textId="77777777"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319A88" w14:textId="77777777" w:rsidR="007C346C" w:rsidRDefault="0087562A">
    <w:pPr>
      <w:pStyle w:val="Header"/>
    </w:pPr>
    <w:r>
      <w:rPr>
        <w:noProof/>
      </w:rPr>
      <w:pict w14:anchorId="383A62D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D87D7" w14:textId="77777777" w:rsidR="007C346C" w:rsidRDefault="007A395D" w:rsidP="007A395D">
    <w:pPr>
      <w:pStyle w:val="Header"/>
      <w:jc w:val="right"/>
    </w:pPr>
    <w:r>
      <w:rPr>
        <w:noProof/>
        <w:lang w:val="de-DE" w:eastAsia="de-DE"/>
      </w:rPr>
      <w:drawing>
        <wp:anchor distT="0" distB="0" distL="114300" distR="114300" simplePos="0" relativeHeight="251665408" behindDoc="0" locked="0" layoutInCell="1" allowOverlap="1" wp14:anchorId="32EE4931" wp14:editId="7A7A9F09">
          <wp:simplePos x="0" y="0"/>
          <wp:positionH relativeFrom="column">
            <wp:posOffset>5447030</wp:posOffset>
          </wp:positionH>
          <wp:positionV relativeFrom="paragraph">
            <wp:posOffset>-427990</wp:posOffset>
          </wp:positionV>
          <wp:extent cx="574675" cy="560070"/>
          <wp:effectExtent l="0" t="0" r="0"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87562A">
      <w:rPr>
        <w:noProof/>
      </w:rPr>
      <w:pict w14:anchorId="4D340BF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061BFF" w14:textId="77777777" w:rsidR="00BC2334" w:rsidRDefault="00BC2334" w:rsidP="007A395D">
    <w:pPr>
      <w:pStyle w:val="Header"/>
      <w:jc w:val="center"/>
    </w:pPr>
    <w:r>
      <w:rPr>
        <w:noProof/>
        <w:lang w:val="de-DE" w:eastAsia="de-DE"/>
      </w:rPr>
      <w:drawing>
        <wp:anchor distT="0" distB="0" distL="114300" distR="114300" simplePos="0" relativeHeight="251658240" behindDoc="0" locked="0" layoutInCell="1" allowOverlap="1" wp14:anchorId="60BCBC27" wp14:editId="438B1CCD">
          <wp:simplePos x="0" y="0"/>
          <wp:positionH relativeFrom="column">
            <wp:posOffset>2523172</wp:posOffset>
          </wp:positionH>
          <wp:positionV relativeFrom="paragraph">
            <wp:posOffset>-405130</wp:posOffset>
          </wp:positionV>
          <wp:extent cx="852713" cy="831071"/>
          <wp:effectExtent l="0" t="0" r="0" b="0"/>
          <wp:wrapSquare wrapText="bothSides"/>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7B6CF520" w14:textId="77777777" w:rsidR="00BC2334" w:rsidRDefault="00BC2334" w:rsidP="007A395D">
    <w:pPr>
      <w:pStyle w:val="Header"/>
      <w:jc w:val="center"/>
    </w:pPr>
  </w:p>
  <w:p w14:paraId="1E04D79F" w14:textId="77777777" w:rsidR="007C346C" w:rsidRDefault="0087562A" w:rsidP="007A395D">
    <w:pPr>
      <w:pStyle w:val="Header"/>
      <w:jc w:val="center"/>
    </w:pPr>
    <w:r>
      <w:rPr>
        <w:noProof/>
      </w:rPr>
      <w:pict w14:anchorId="4ADCCF3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1FC0BE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2"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14"/>
  </w:num>
  <w:num w:numId="2">
    <w:abstractNumId w:val="10"/>
  </w:num>
  <w:num w:numId="3">
    <w:abstractNumId w:val="2"/>
  </w:num>
  <w:num w:numId="4">
    <w:abstractNumId w:val="16"/>
  </w:num>
  <w:num w:numId="5">
    <w:abstractNumId w:val="6"/>
  </w:num>
  <w:num w:numId="6">
    <w:abstractNumId w:val="5"/>
  </w:num>
  <w:num w:numId="7">
    <w:abstractNumId w:val="12"/>
  </w:num>
  <w:num w:numId="8">
    <w:abstractNumId w:val="11"/>
  </w:num>
  <w:num w:numId="9">
    <w:abstractNumId w:val="15"/>
  </w:num>
  <w:num w:numId="10">
    <w:abstractNumId w:val="4"/>
  </w:num>
  <w:num w:numId="11">
    <w:abstractNumId w:val="13"/>
  </w:num>
  <w:num w:numId="12">
    <w:abstractNumId w:val="8"/>
  </w:num>
  <w:num w:numId="13">
    <w:abstractNumId w:val="7"/>
  </w:num>
  <w:num w:numId="14">
    <w:abstractNumId w:val="3"/>
  </w:num>
  <w:num w:numId="15">
    <w:abstractNumId w:val="9"/>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0"/>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26AAB"/>
    <w:rsid w:val="00036A03"/>
    <w:rsid w:val="00036B9E"/>
    <w:rsid w:val="00037DF4"/>
    <w:rsid w:val="0004700E"/>
    <w:rsid w:val="00070C13"/>
    <w:rsid w:val="000715C9"/>
    <w:rsid w:val="00084F33"/>
    <w:rsid w:val="000A77A7"/>
    <w:rsid w:val="000B1707"/>
    <w:rsid w:val="000C1B3E"/>
    <w:rsid w:val="000C349E"/>
    <w:rsid w:val="00110AE7"/>
    <w:rsid w:val="00136FD0"/>
    <w:rsid w:val="001522A2"/>
    <w:rsid w:val="00177F4D"/>
    <w:rsid w:val="00180DDA"/>
    <w:rsid w:val="00181D68"/>
    <w:rsid w:val="001B2A2D"/>
    <w:rsid w:val="001B737D"/>
    <w:rsid w:val="001C44A3"/>
    <w:rsid w:val="001D32C1"/>
    <w:rsid w:val="001E0E15"/>
    <w:rsid w:val="001F528A"/>
    <w:rsid w:val="001F704E"/>
    <w:rsid w:val="00201722"/>
    <w:rsid w:val="002125B0"/>
    <w:rsid w:val="00243228"/>
    <w:rsid w:val="00244F64"/>
    <w:rsid w:val="0024631A"/>
    <w:rsid w:val="00251483"/>
    <w:rsid w:val="00255CAA"/>
    <w:rsid w:val="00264305"/>
    <w:rsid w:val="002A0346"/>
    <w:rsid w:val="002A4487"/>
    <w:rsid w:val="002B49E9"/>
    <w:rsid w:val="002C5600"/>
    <w:rsid w:val="002C632E"/>
    <w:rsid w:val="002D3E8B"/>
    <w:rsid w:val="002D4575"/>
    <w:rsid w:val="002D5C0C"/>
    <w:rsid w:val="002E03D1"/>
    <w:rsid w:val="002E6B74"/>
    <w:rsid w:val="002E6FCA"/>
    <w:rsid w:val="0032555A"/>
    <w:rsid w:val="003538C7"/>
    <w:rsid w:val="00356CD0"/>
    <w:rsid w:val="00362CD9"/>
    <w:rsid w:val="003761CA"/>
    <w:rsid w:val="00380DAF"/>
    <w:rsid w:val="003817A5"/>
    <w:rsid w:val="00384FAC"/>
    <w:rsid w:val="003972CE"/>
    <w:rsid w:val="003B28F5"/>
    <w:rsid w:val="003B7B7D"/>
    <w:rsid w:val="003C54CB"/>
    <w:rsid w:val="003C7A2A"/>
    <w:rsid w:val="003D0DFF"/>
    <w:rsid w:val="003D2DC1"/>
    <w:rsid w:val="003D69D0"/>
    <w:rsid w:val="003F2918"/>
    <w:rsid w:val="003F430E"/>
    <w:rsid w:val="0041088C"/>
    <w:rsid w:val="00412DD0"/>
    <w:rsid w:val="00420A38"/>
    <w:rsid w:val="00431B19"/>
    <w:rsid w:val="004661AD"/>
    <w:rsid w:val="004A6C1D"/>
    <w:rsid w:val="004C7E81"/>
    <w:rsid w:val="004D1D85"/>
    <w:rsid w:val="004D3C3A"/>
    <w:rsid w:val="004E1CD1"/>
    <w:rsid w:val="004F7EFC"/>
    <w:rsid w:val="00503A04"/>
    <w:rsid w:val="0050561D"/>
    <w:rsid w:val="005107EB"/>
    <w:rsid w:val="00521345"/>
    <w:rsid w:val="00526DF0"/>
    <w:rsid w:val="00545CC4"/>
    <w:rsid w:val="00551FFF"/>
    <w:rsid w:val="005607A2"/>
    <w:rsid w:val="0057198B"/>
    <w:rsid w:val="00573CFE"/>
    <w:rsid w:val="0057460F"/>
    <w:rsid w:val="005969F2"/>
    <w:rsid w:val="00597FAE"/>
    <w:rsid w:val="005B32A3"/>
    <w:rsid w:val="005C0D44"/>
    <w:rsid w:val="005C566C"/>
    <w:rsid w:val="005C7E69"/>
    <w:rsid w:val="005E262D"/>
    <w:rsid w:val="005F23D3"/>
    <w:rsid w:val="005F47B7"/>
    <w:rsid w:val="005F7E20"/>
    <w:rsid w:val="00605E43"/>
    <w:rsid w:val="006153BB"/>
    <w:rsid w:val="006652C3"/>
    <w:rsid w:val="00677244"/>
    <w:rsid w:val="00691FD0"/>
    <w:rsid w:val="00692148"/>
    <w:rsid w:val="006A1A1E"/>
    <w:rsid w:val="006A5C38"/>
    <w:rsid w:val="006C5948"/>
    <w:rsid w:val="006F2A74"/>
    <w:rsid w:val="007000D4"/>
    <w:rsid w:val="007118F5"/>
    <w:rsid w:val="00712AA4"/>
    <w:rsid w:val="007146C4"/>
    <w:rsid w:val="00721AA1"/>
    <w:rsid w:val="00724B67"/>
    <w:rsid w:val="007547F8"/>
    <w:rsid w:val="00765622"/>
    <w:rsid w:val="00770B6C"/>
    <w:rsid w:val="00783FEA"/>
    <w:rsid w:val="007943FD"/>
    <w:rsid w:val="007A395D"/>
    <w:rsid w:val="007B6BD5"/>
    <w:rsid w:val="007C346C"/>
    <w:rsid w:val="007E08D8"/>
    <w:rsid w:val="007E6479"/>
    <w:rsid w:val="007F2585"/>
    <w:rsid w:val="007F7C56"/>
    <w:rsid w:val="0080294B"/>
    <w:rsid w:val="0082480E"/>
    <w:rsid w:val="00850293"/>
    <w:rsid w:val="00851373"/>
    <w:rsid w:val="00851BA6"/>
    <w:rsid w:val="0085654D"/>
    <w:rsid w:val="00861160"/>
    <w:rsid w:val="0086654F"/>
    <w:rsid w:val="0087562A"/>
    <w:rsid w:val="008A1B26"/>
    <w:rsid w:val="008A356F"/>
    <w:rsid w:val="008A4653"/>
    <w:rsid w:val="008A4717"/>
    <w:rsid w:val="008A50CC"/>
    <w:rsid w:val="008A7603"/>
    <w:rsid w:val="008B3040"/>
    <w:rsid w:val="008D1694"/>
    <w:rsid w:val="008D6C1F"/>
    <w:rsid w:val="008D79CB"/>
    <w:rsid w:val="008F07BC"/>
    <w:rsid w:val="00912957"/>
    <w:rsid w:val="0092692B"/>
    <w:rsid w:val="00930561"/>
    <w:rsid w:val="00943E9C"/>
    <w:rsid w:val="00953F4D"/>
    <w:rsid w:val="00955762"/>
    <w:rsid w:val="00960BB8"/>
    <w:rsid w:val="00964F5C"/>
    <w:rsid w:val="00973B57"/>
    <w:rsid w:val="00975900"/>
    <w:rsid w:val="009831C0"/>
    <w:rsid w:val="0099161D"/>
    <w:rsid w:val="009F4263"/>
    <w:rsid w:val="009F6F9F"/>
    <w:rsid w:val="00A0389B"/>
    <w:rsid w:val="00A33A3C"/>
    <w:rsid w:val="00A40A55"/>
    <w:rsid w:val="00A446C9"/>
    <w:rsid w:val="00A635D6"/>
    <w:rsid w:val="00A6432E"/>
    <w:rsid w:val="00A8553A"/>
    <w:rsid w:val="00A93AED"/>
    <w:rsid w:val="00AA5C79"/>
    <w:rsid w:val="00AE1319"/>
    <w:rsid w:val="00AE34BB"/>
    <w:rsid w:val="00B226F2"/>
    <w:rsid w:val="00B26ECC"/>
    <w:rsid w:val="00B274DF"/>
    <w:rsid w:val="00B56BDF"/>
    <w:rsid w:val="00B6257D"/>
    <w:rsid w:val="00B65812"/>
    <w:rsid w:val="00B766DC"/>
    <w:rsid w:val="00B85CD6"/>
    <w:rsid w:val="00B90A27"/>
    <w:rsid w:val="00B9554D"/>
    <w:rsid w:val="00BA010E"/>
    <w:rsid w:val="00BB2B9F"/>
    <w:rsid w:val="00BB7D9E"/>
    <w:rsid w:val="00BC2334"/>
    <w:rsid w:val="00BD3CB8"/>
    <w:rsid w:val="00BD4E6F"/>
    <w:rsid w:val="00BF32F0"/>
    <w:rsid w:val="00BF4DCE"/>
    <w:rsid w:val="00C05CE5"/>
    <w:rsid w:val="00C24EFE"/>
    <w:rsid w:val="00C6171E"/>
    <w:rsid w:val="00C671DC"/>
    <w:rsid w:val="00C70A72"/>
    <w:rsid w:val="00CA6F2C"/>
    <w:rsid w:val="00CD6A13"/>
    <w:rsid w:val="00CF1871"/>
    <w:rsid w:val="00D01874"/>
    <w:rsid w:val="00D019CE"/>
    <w:rsid w:val="00D1133E"/>
    <w:rsid w:val="00D17A34"/>
    <w:rsid w:val="00D26628"/>
    <w:rsid w:val="00D332B3"/>
    <w:rsid w:val="00D42DB5"/>
    <w:rsid w:val="00D55207"/>
    <w:rsid w:val="00D81801"/>
    <w:rsid w:val="00D92B45"/>
    <w:rsid w:val="00D95962"/>
    <w:rsid w:val="00DA315C"/>
    <w:rsid w:val="00DC389B"/>
    <w:rsid w:val="00DE2FEE"/>
    <w:rsid w:val="00DF1467"/>
    <w:rsid w:val="00E00BE9"/>
    <w:rsid w:val="00E10483"/>
    <w:rsid w:val="00E14B79"/>
    <w:rsid w:val="00E22A11"/>
    <w:rsid w:val="00E31E5C"/>
    <w:rsid w:val="00E44DD2"/>
    <w:rsid w:val="00E558C3"/>
    <w:rsid w:val="00E55927"/>
    <w:rsid w:val="00E60540"/>
    <w:rsid w:val="00E912A6"/>
    <w:rsid w:val="00EA4844"/>
    <w:rsid w:val="00EA4D9C"/>
    <w:rsid w:val="00EA5A97"/>
    <w:rsid w:val="00EB2248"/>
    <w:rsid w:val="00EB75EE"/>
    <w:rsid w:val="00EE3CC5"/>
    <w:rsid w:val="00EE4C1D"/>
    <w:rsid w:val="00EF3685"/>
    <w:rsid w:val="00F04350"/>
    <w:rsid w:val="00F133DB"/>
    <w:rsid w:val="00F159EB"/>
    <w:rsid w:val="00F25BF4"/>
    <w:rsid w:val="00F267DB"/>
    <w:rsid w:val="00F43D62"/>
    <w:rsid w:val="00F46F6F"/>
    <w:rsid w:val="00F60608"/>
    <w:rsid w:val="00F62217"/>
    <w:rsid w:val="00F641D3"/>
    <w:rsid w:val="00F76E9F"/>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5C27B5AA"/>
  <w15:docId w15:val="{6AED7117-4FF6-45A5-9A32-B746FDD93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76E9F"/>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left" w:pos="1134"/>
      </w:tabs>
      <w:spacing w:after="120"/>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ListBullet">
    <w:name w:val="List Bullet"/>
    <w:basedOn w:val="Normal"/>
    <w:unhideWhenUsed/>
    <w:rsid w:val="007E08D8"/>
    <w:pPr>
      <w:numPr>
        <w:numId w:val="18"/>
      </w:numPr>
      <w:contextualSpacing/>
    </w:pPr>
  </w:style>
  <w:style w:type="paragraph" w:styleId="Caption">
    <w:name w:val="caption"/>
    <w:basedOn w:val="Normal"/>
    <w:next w:val="Normal"/>
    <w:uiPriority w:val="35"/>
    <w:unhideWhenUsed/>
    <w:qFormat/>
    <w:rsid w:val="00F76E9F"/>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922651">
      <w:bodyDiv w:val="1"/>
      <w:marLeft w:val="0"/>
      <w:marRight w:val="0"/>
      <w:marTop w:val="0"/>
      <w:marBottom w:val="0"/>
      <w:divBdr>
        <w:top w:val="none" w:sz="0" w:space="0" w:color="auto"/>
        <w:left w:val="none" w:sz="0" w:space="0" w:color="auto"/>
        <w:bottom w:val="none" w:sz="0" w:space="0" w:color="auto"/>
        <w:right w:val="none" w:sz="0" w:space="0" w:color="auto"/>
      </w:divBdr>
    </w:div>
    <w:div w:id="592057728">
      <w:bodyDiv w:val="1"/>
      <w:marLeft w:val="0"/>
      <w:marRight w:val="0"/>
      <w:marTop w:val="0"/>
      <w:marBottom w:val="0"/>
      <w:divBdr>
        <w:top w:val="none" w:sz="0" w:space="0" w:color="auto"/>
        <w:left w:val="none" w:sz="0" w:space="0" w:color="auto"/>
        <w:bottom w:val="none" w:sz="0" w:space="0" w:color="auto"/>
        <w:right w:val="none" w:sz="0" w:space="0" w:color="auto"/>
      </w:divBdr>
    </w:div>
    <w:div w:id="1083381306">
      <w:bodyDiv w:val="1"/>
      <w:marLeft w:val="0"/>
      <w:marRight w:val="0"/>
      <w:marTop w:val="0"/>
      <w:marBottom w:val="0"/>
      <w:divBdr>
        <w:top w:val="none" w:sz="0" w:space="0" w:color="auto"/>
        <w:left w:val="none" w:sz="0" w:space="0" w:color="auto"/>
        <w:bottom w:val="none" w:sz="0" w:space="0" w:color="auto"/>
        <w:right w:val="none" w:sz="0" w:space="0" w:color="auto"/>
      </w:divBdr>
    </w:div>
    <w:div w:id="2088068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iala-aism.org/product/g1134-surface-colours-used-visual-signals-aton/?download=true" TargetMode="Externa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4309D0-6A09-4310-A7C7-E5195C072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980</Words>
  <Characters>5589</Characters>
  <Application>Microsoft Office Word</Application>
  <DocSecurity>4</DocSecurity>
  <Lines>46</Lines>
  <Paragraphs>13</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WSA Koblenz</Company>
  <LinksUpToDate>false</LinksUpToDate>
  <CharactersWithSpaces>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Kevin Gregory</cp:lastModifiedBy>
  <cp:revision>2</cp:revision>
  <cp:lastPrinted>2019-08-23T16:51:00Z</cp:lastPrinted>
  <dcterms:created xsi:type="dcterms:W3CDTF">2019-09-02T07:23:00Z</dcterms:created>
  <dcterms:modified xsi:type="dcterms:W3CDTF">2019-09-02T07:23:00Z</dcterms:modified>
</cp:coreProperties>
</file>